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微软雅黑" w:hAnsi="微软雅黑" w:eastAsia="微软雅黑" w:cs="微软雅黑"/>
          <w:b w:val="0"/>
          <w:i w:val="0"/>
          <w:caps w:val="0"/>
          <w:color w:val="333333"/>
          <w:spacing w:val="0"/>
          <w:kern w:val="0"/>
          <w:sz w:val="24"/>
          <w:szCs w:val="24"/>
          <w:bdr w:val="none" w:color="auto" w:sz="0" w:space="0"/>
          <w:shd w:val="clear" w:fill="FFFFFF"/>
          <w:lang w:val="en-US" w:eastAsia="zh-CN" w:bidi="ar"/>
        </w:rPr>
      </w:pPr>
      <w:r>
        <w:rPr>
          <w:rFonts w:ascii="微软雅黑" w:hAnsi="微软雅黑" w:eastAsia="微软雅黑" w:cs="微软雅黑"/>
          <w:b w:val="0"/>
          <w:i w:val="0"/>
          <w:caps w:val="0"/>
          <w:color w:val="333333"/>
          <w:spacing w:val="0"/>
          <w:sz w:val="24"/>
          <w:szCs w:val="24"/>
          <w:shd w:val="clear" w:fill="FFFFFF"/>
        </w:rPr>
        <w:t>附件1</w:t>
      </w:r>
      <w:r>
        <w:rPr>
          <w:rFonts w:hint="eastAsia" w:ascii="微软雅黑" w:hAnsi="微软雅黑" w:eastAsia="微软雅黑" w:cs="微软雅黑"/>
          <w:b w:val="0"/>
          <w:i w:val="0"/>
          <w:caps w:val="0"/>
          <w:color w:val="333333"/>
          <w:spacing w:val="0"/>
          <w:sz w:val="24"/>
          <w:szCs w:val="24"/>
          <w:shd w:val="clear" w:fill="FFFFFF"/>
        </w:rPr>
        <w:t> </w:t>
      </w:r>
      <w:r>
        <w:rPr>
          <w:rFonts w:hint="eastAsia" w:ascii="微软雅黑" w:hAnsi="微软雅黑" w:eastAsia="微软雅黑" w:cs="微软雅黑"/>
          <w:b w:val="0"/>
          <w:i w:val="0"/>
          <w:caps w:val="0"/>
          <w:color w:val="333333"/>
          <w:spacing w:val="0"/>
          <w:kern w:val="0"/>
          <w:sz w:val="24"/>
          <w:szCs w:val="24"/>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hint="eastAsia" w:ascii="微软雅黑" w:hAnsi="微软雅黑" w:eastAsia="微软雅黑" w:cs="微软雅黑"/>
          <w:b w:val="0"/>
          <w:i w:val="0"/>
          <w:caps w:val="0"/>
          <w:color w:val="333333"/>
          <w:spacing w:val="0"/>
          <w:kern w:val="0"/>
          <w:sz w:val="24"/>
          <w:szCs w:val="24"/>
          <w:bdr w:val="none" w:color="auto" w:sz="0" w:space="0"/>
          <w:shd w:val="clear" w:fill="FFFFFF"/>
          <w:lang w:val="en-US" w:eastAsia="zh-CN" w:bidi="ar"/>
        </w:rPr>
      </w:pPr>
      <w:r>
        <w:rPr>
          <w:rFonts w:hint="eastAsia" w:ascii="微软雅黑" w:hAnsi="微软雅黑" w:eastAsia="微软雅黑" w:cs="微软雅黑"/>
          <w:b w:val="0"/>
          <w:i w:val="0"/>
          <w:caps w:val="0"/>
          <w:color w:val="333333"/>
          <w:spacing w:val="0"/>
          <w:kern w:val="0"/>
          <w:sz w:val="24"/>
          <w:szCs w:val="24"/>
          <w:bdr w:val="none" w:color="auto" w:sz="0" w:space="0"/>
          <w:shd w:val="clear" w:fill="FFFFFF"/>
          <w:lang w:val="en-US" w:eastAsia="zh-CN" w:bidi="ar"/>
        </w:rPr>
        <w:t>泸州市未迁信息系统迁移上云计划表 </w:t>
      </w:r>
      <w:r>
        <w:rPr>
          <w:rFonts w:hint="eastAsia" w:ascii="微软雅黑" w:hAnsi="微软雅黑" w:eastAsia="微软雅黑" w:cs="微软雅黑"/>
          <w:b w:val="0"/>
          <w:i w:val="0"/>
          <w:caps w:val="0"/>
          <w:color w:val="333333"/>
          <w:spacing w:val="0"/>
          <w:kern w:val="0"/>
          <w:sz w:val="24"/>
          <w:szCs w:val="24"/>
          <w:bdr w:val="none" w:color="auto" w:sz="0" w:space="0"/>
          <w:shd w:val="clear" w:fill="FFFFFF"/>
          <w:lang w:val="en-US" w:eastAsia="zh-CN" w:bidi="ar"/>
        </w:rPr>
        <w:br w:type="textWrapping"/>
      </w:r>
      <w:r>
        <w:rPr>
          <w:rFonts w:hint="eastAsia" w:ascii="微软雅黑" w:hAnsi="微软雅黑" w:eastAsia="微软雅黑" w:cs="微软雅黑"/>
          <w:b w:val="0"/>
          <w:i w:val="0"/>
          <w:caps w:val="0"/>
          <w:color w:val="333333"/>
          <w:spacing w:val="0"/>
          <w:kern w:val="0"/>
          <w:sz w:val="24"/>
          <w:szCs w:val="24"/>
          <w:bdr w:val="none" w:color="auto" w:sz="0" w:space="0"/>
          <w:shd w:val="clear" w:fill="FFFFFF"/>
          <w:lang w:val="en-US" w:eastAsia="zh-CN" w:bidi="ar"/>
        </w:rPr>
        <w:br w:type="textWrapping"/>
      </w:r>
      <w:r>
        <w:rPr>
          <w:rFonts w:hint="eastAsia" w:ascii="微软雅黑" w:hAnsi="微软雅黑" w:eastAsia="微软雅黑" w:cs="微软雅黑"/>
          <w:b w:val="0"/>
          <w:i w:val="0"/>
          <w:caps w:val="0"/>
          <w:color w:val="333333"/>
          <w:spacing w:val="0"/>
          <w:kern w:val="0"/>
          <w:sz w:val="24"/>
          <w:szCs w:val="24"/>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微软雅黑" w:hAnsi="微软雅黑" w:eastAsia="微软雅黑" w:cs="微软雅黑"/>
          <w:b w:val="0"/>
          <w:i w:val="0"/>
          <w:caps w:val="0"/>
          <w:color w:val="333333"/>
          <w:spacing w:val="0"/>
          <w:kern w:val="0"/>
          <w:sz w:val="24"/>
          <w:szCs w:val="24"/>
          <w:bdr w:val="none" w:color="auto" w:sz="0" w:space="0"/>
          <w:shd w:val="clear" w:fill="FFFFFF"/>
          <w:lang w:val="en-US" w:eastAsia="zh-CN" w:bidi="ar"/>
        </w:rPr>
      </w:pPr>
      <w:r>
        <w:rPr>
          <w:rFonts w:hint="eastAsia" w:ascii="微软雅黑" w:hAnsi="微软雅黑" w:eastAsia="微软雅黑" w:cs="微软雅黑"/>
          <w:b w:val="0"/>
          <w:i w:val="0"/>
          <w:caps w:val="0"/>
          <w:color w:val="333333"/>
          <w:spacing w:val="0"/>
          <w:kern w:val="0"/>
          <w:sz w:val="24"/>
          <w:szCs w:val="24"/>
          <w:bdr w:val="none" w:color="auto" w:sz="0" w:space="0"/>
          <w:shd w:val="clear" w:fill="FFFFFF"/>
          <w:lang w:val="en-US" w:eastAsia="zh-CN" w:bidi="ar"/>
        </w:rPr>
        <w:t>填表单位：      （盖章）</w:t>
      </w:r>
    </w:p>
    <w:p>
      <w:pPr>
        <w:keepNext w:val="0"/>
        <w:keepLines w:val="0"/>
        <w:widowControl/>
        <w:suppressLineNumbers w:val="0"/>
        <w:jc w:val="left"/>
      </w:pPr>
      <w:r>
        <w:rPr>
          <w:rFonts w:hint="eastAsia" w:ascii="微软雅黑" w:hAnsi="微软雅黑" w:eastAsia="微软雅黑" w:cs="微软雅黑"/>
          <w:b w:val="0"/>
          <w:i w:val="0"/>
          <w:caps w:val="0"/>
          <w:color w:val="333333"/>
          <w:spacing w:val="0"/>
          <w:kern w:val="0"/>
          <w:sz w:val="24"/>
          <w:szCs w:val="24"/>
          <w:shd w:val="clear" w:fill="FFFFFF"/>
          <w:lang w:val="en-US" w:eastAsia="zh-CN" w:bidi="ar"/>
        </w:rPr>
        <w:t>　　</w:t>
      </w:r>
    </w:p>
    <w:tbl>
      <w:tblPr>
        <w:tblW w:w="11200" w:type="dxa"/>
        <w:jc w:val="center"/>
        <w:tblInd w:w="-1447" w:type="dxa"/>
        <w:shd w:val="clear"/>
        <w:tblLayout w:type="fixed"/>
        <w:tblCellMar>
          <w:top w:w="0" w:type="dxa"/>
          <w:left w:w="0" w:type="dxa"/>
          <w:bottom w:w="0" w:type="dxa"/>
          <w:right w:w="0" w:type="dxa"/>
        </w:tblCellMar>
      </w:tblPr>
      <w:tblGrid>
        <w:gridCol w:w="714"/>
        <w:gridCol w:w="1418"/>
        <w:gridCol w:w="2526"/>
        <w:gridCol w:w="1324"/>
        <w:gridCol w:w="1335"/>
        <w:gridCol w:w="1071"/>
        <w:gridCol w:w="1132"/>
        <w:gridCol w:w="1680"/>
      </w:tblGrid>
      <w:tr>
        <w:tblPrEx>
          <w:shd w:val="clear"/>
          <w:tblLayout w:type="fixed"/>
          <w:tblCellMar>
            <w:top w:w="0" w:type="dxa"/>
            <w:left w:w="0" w:type="dxa"/>
            <w:bottom w:w="0" w:type="dxa"/>
            <w:right w:w="0" w:type="dxa"/>
          </w:tblCellMar>
        </w:tblPrEx>
        <w:trPr>
          <w:trHeight w:val="460" w:hRule="atLeast"/>
          <w:jc w:val="center"/>
        </w:trPr>
        <w:tc>
          <w:tcPr>
            <w:tcW w:w="714" w:type="dxa"/>
            <w:vMerge w:val="restart"/>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序号</w:t>
            </w:r>
          </w:p>
        </w:tc>
        <w:tc>
          <w:tcPr>
            <w:tcW w:w="1418" w:type="dxa"/>
            <w:vMerge w:val="restart"/>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单位名称</w:t>
            </w:r>
          </w:p>
        </w:tc>
        <w:tc>
          <w:tcPr>
            <w:tcW w:w="2526" w:type="dxa"/>
            <w:vMerge w:val="restart"/>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信息系统名称</w:t>
            </w:r>
          </w:p>
        </w:tc>
        <w:tc>
          <w:tcPr>
            <w:tcW w:w="1324" w:type="dxa"/>
            <w:vMerge w:val="restart"/>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启用时间</w:t>
            </w:r>
          </w:p>
        </w:tc>
        <w:tc>
          <w:tcPr>
            <w:tcW w:w="2406" w:type="dxa"/>
            <w:gridSpan w:val="2"/>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实际占用资源规模</w:t>
            </w:r>
          </w:p>
        </w:tc>
        <w:tc>
          <w:tcPr>
            <w:tcW w:w="1132"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承载网络</w:t>
            </w:r>
          </w:p>
        </w:tc>
        <w:tc>
          <w:tcPr>
            <w:tcW w:w="1680" w:type="dxa"/>
            <w:vMerge w:val="restart"/>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计划迁移时间</w:t>
            </w:r>
          </w:p>
        </w:tc>
      </w:tr>
      <w:tr>
        <w:tblPrEx>
          <w:shd w:val="clear"/>
          <w:tblLayout w:type="fixed"/>
          <w:tblCellMar>
            <w:top w:w="0" w:type="dxa"/>
            <w:left w:w="0" w:type="dxa"/>
            <w:bottom w:w="0" w:type="dxa"/>
            <w:right w:w="0" w:type="dxa"/>
          </w:tblCellMar>
        </w:tblPrEx>
        <w:trPr>
          <w:trHeight w:val="460" w:hRule="atLeast"/>
          <w:jc w:val="center"/>
        </w:trPr>
        <w:tc>
          <w:tcPr>
            <w:tcW w:w="714" w:type="dxa"/>
            <w:vMerge w:val="continue"/>
            <w:tcBorders>
              <w:top w:val="single" w:color="000000" w:sz="6" w:space="0"/>
              <w:left w:val="single" w:color="000000" w:sz="6" w:space="0"/>
              <w:bottom w:val="single" w:color="000000" w:sz="6" w:space="0"/>
              <w:right w:val="single" w:color="000000" w:sz="6" w:space="0"/>
            </w:tcBorders>
            <w:shd w:val="clear"/>
            <w:vAlign w:val="center"/>
          </w:tcPr>
          <w:p>
            <w:pPr>
              <w:jc w:val="center"/>
              <w:rPr>
                <w:rFonts w:hint="eastAsia" w:ascii="宋体"/>
                <w:sz w:val="24"/>
                <w:szCs w:val="24"/>
              </w:rPr>
            </w:pPr>
          </w:p>
        </w:tc>
        <w:tc>
          <w:tcPr>
            <w:tcW w:w="1418" w:type="dxa"/>
            <w:vMerge w:val="continue"/>
            <w:tcBorders>
              <w:top w:val="single" w:color="000000" w:sz="6" w:space="0"/>
              <w:left w:val="single" w:color="000000" w:sz="6" w:space="0"/>
              <w:bottom w:val="single" w:color="000000" w:sz="6" w:space="0"/>
              <w:right w:val="single" w:color="000000" w:sz="6" w:space="0"/>
            </w:tcBorders>
            <w:shd w:val="clear"/>
            <w:vAlign w:val="center"/>
          </w:tcPr>
          <w:p>
            <w:pPr>
              <w:jc w:val="center"/>
              <w:rPr>
                <w:rFonts w:hint="eastAsia" w:ascii="宋体"/>
                <w:sz w:val="24"/>
                <w:szCs w:val="24"/>
              </w:rPr>
            </w:pPr>
          </w:p>
        </w:tc>
        <w:tc>
          <w:tcPr>
            <w:tcW w:w="2526" w:type="dxa"/>
            <w:vMerge w:val="continue"/>
            <w:tcBorders>
              <w:top w:val="single" w:color="000000" w:sz="6" w:space="0"/>
              <w:left w:val="single" w:color="000000" w:sz="6" w:space="0"/>
              <w:bottom w:val="single" w:color="000000" w:sz="6" w:space="0"/>
              <w:right w:val="single" w:color="000000" w:sz="6" w:space="0"/>
            </w:tcBorders>
            <w:shd w:val="clear"/>
            <w:vAlign w:val="center"/>
          </w:tcPr>
          <w:p>
            <w:pPr>
              <w:jc w:val="center"/>
              <w:rPr>
                <w:rFonts w:hint="eastAsia" w:ascii="宋体"/>
                <w:sz w:val="24"/>
                <w:szCs w:val="24"/>
              </w:rPr>
            </w:pPr>
          </w:p>
        </w:tc>
        <w:tc>
          <w:tcPr>
            <w:tcW w:w="1324" w:type="dxa"/>
            <w:vMerge w:val="continue"/>
            <w:tcBorders>
              <w:top w:val="single" w:color="000000" w:sz="6" w:space="0"/>
              <w:left w:val="single" w:color="000000" w:sz="6" w:space="0"/>
              <w:bottom w:val="single" w:color="000000" w:sz="6" w:space="0"/>
              <w:right w:val="single" w:color="000000" w:sz="6" w:space="0"/>
            </w:tcBorders>
            <w:shd w:val="clear"/>
            <w:vAlign w:val="center"/>
          </w:tcPr>
          <w:p>
            <w:pPr>
              <w:jc w:val="center"/>
              <w:rPr>
                <w:rFonts w:hint="eastAsia" w:ascii="宋体"/>
                <w:sz w:val="24"/>
                <w:szCs w:val="24"/>
              </w:rPr>
            </w:pPr>
          </w:p>
        </w:tc>
        <w:tc>
          <w:tcPr>
            <w:tcW w:w="1335"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服务器数量</w:t>
            </w:r>
          </w:p>
        </w:tc>
        <w:tc>
          <w:tcPr>
            <w:tcW w:w="1071"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存储容量</w:t>
            </w:r>
          </w:p>
        </w:tc>
        <w:tc>
          <w:tcPr>
            <w:tcW w:w="1132"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网络</w:t>
            </w:r>
          </w:p>
        </w:tc>
        <w:tc>
          <w:tcPr>
            <w:tcW w:w="1680" w:type="dxa"/>
            <w:vMerge w:val="continue"/>
            <w:tcBorders>
              <w:top w:val="single" w:color="000000" w:sz="6" w:space="0"/>
              <w:left w:val="single" w:color="000000" w:sz="6" w:space="0"/>
              <w:bottom w:val="single" w:color="000000" w:sz="6" w:space="0"/>
              <w:right w:val="single" w:color="000000" w:sz="6" w:space="0"/>
            </w:tcBorders>
            <w:shd w:val="clear"/>
            <w:vAlign w:val="center"/>
          </w:tcPr>
          <w:p>
            <w:pPr>
              <w:jc w:val="center"/>
              <w:rPr>
                <w:rFonts w:hint="eastAsia" w:ascii="宋体"/>
                <w:sz w:val="24"/>
                <w:szCs w:val="24"/>
              </w:rPr>
            </w:pPr>
          </w:p>
        </w:tc>
      </w:tr>
      <w:tr>
        <w:tblPrEx>
          <w:shd w:val="clear"/>
          <w:tblLayout w:type="fixed"/>
          <w:tblCellMar>
            <w:top w:w="0" w:type="dxa"/>
            <w:left w:w="0" w:type="dxa"/>
            <w:bottom w:w="0" w:type="dxa"/>
            <w:right w:w="0" w:type="dxa"/>
          </w:tblCellMar>
        </w:tblPrEx>
        <w:trPr>
          <w:trHeight w:val="460" w:hRule="atLeast"/>
          <w:jc w:val="center"/>
        </w:trPr>
        <w:tc>
          <w:tcPr>
            <w:tcW w:w="714"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w:t>
            </w:r>
          </w:p>
        </w:tc>
        <w:tc>
          <w:tcPr>
            <w:tcW w:w="1418"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 </w:t>
            </w:r>
          </w:p>
        </w:tc>
        <w:tc>
          <w:tcPr>
            <w:tcW w:w="2526"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 </w:t>
            </w:r>
          </w:p>
        </w:tc>
        <w:tc>
          <w:tcPr>
            <w:tcW w:w="1324"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 </w:t>
            </w:r>
          </w:p>
        </w:tc>
        <w:tc>
          <w:tcPr>
            <w:tcW w:w="1335"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 </w:t>
            </w:r>
          </w:p>
        </w:tc>
        <w:tc>
          <w:tcPr>
            <w:tcW w:w="1071"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 </w:t>
            </w:r>
          </w:p>
        </w:tc>
        <w:tc>
          <w:tcPr>
            <w:tcW w:w="1132"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 </w:t>
            </w:r>
          </w:p>
        </w:tc>
        <w:tc>
          <w:tcPr>
            <w:tcW w:w="1680"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 </w:t>
            </w:r>
          </w:p>
        </w:tc>
      </w:tr>
      <w:tr>
        <w:tblPrEx>
          <w:shd w:val="clear"/>
          <w:tblLayout w:type="fixed"/>
          <w:tblCellMar>
            <w:top w:w="0" w:type="dxa"/>
            <w:left w:w="0" w:type="dxa"/>
            <w:bottom w:w="0" w:type="dxa"/>
            <w:right w:w="0" w:type="dxa"/>
          </w:tblCellMar>
        </w:tblPrEx>
        <w:trPr>
          <w:trHeight w:val="460" w:hRule="atLeast"/>
          <w:jc w:val="center"/>
        </w:trPr>
        <w:tc>
          <w:tcPr>
            <w:tcW w:w="714"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2</w:t>
            </w:r>
          </w:p>
        </w:tc>
        <w:tc>
          <w:tcPr>
            <w:tcW w:w="1418"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 </w:t>
            </w:r>
          </w:p>
        </w:tc>
        <w:tc>
          <w:tcPr>
            <w:tcW w:w="2526"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 </w:t>
            </w:r>
          </w:p>
        </w:tc>
        <w:tc>
          <w:tcPr>
            <w:tcW w:w="1324"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 </w:t>
            </w:r>
          </w:p>
        </w:tc>
        <w:tc>
          <w:tcPr>
            <w:tcW w:w="1335"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 </w:t>
            </w:r>
          </w:p>
        </w:tc>
        <w:tc>
          <w:tcPr>
            <w:tcW w:w="1071"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 </w:t>
            </w:r>
          </w:p>
        </w:tc>
        <w:tc>
          <w:tcPr>
            <w:tcW w:w="1132"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 </w:t>
            </w:r>
          </w:p>
        </w:tc>
        <w:tc>
          <w:tcPr>
            <w:tcW w:w="1680"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 </w:t>
            </w:r>
          </w:p>
        </w:tc>
      </w:tr>
      <w:tr>
        <w:tblPrEx>
          <w:shd w:val="clear"/>
          <w:tblLayout w:type="fixed"/>
          <w:tblCellMar>
            <w:top w:w="0" w:type="dxa"/>
            <w:left w:w="0" w:type="dxa"/>
            <w:bottom w:w="0" w:type="dxa"/>
            <w:right w:w="0" w:type="dxa"/>
          </w:tblCellMar>
        </w:tblPrEx>
        <w:trPr>
          <w:trHeight w:val="460" w:hRule="atLeast"/>
          <w:jc w:val="center"/>
        </w:trPr>
        <w:tc>
          <w:tcPr>
            <w:tcW w:w="714"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3</w:t>
            </w:r>
          </w:p>
        </w:tc>
        <w:tc>
          <w:tcPr>
            <w:tcW w:w="1418"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 </w:t>
            </w:r>
          </w:p>
        </w:tc>
        <w:tc>
          <w:tcPr>
            <w:tcW w:w="2526"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 </w:t>
            </w:r>
          </w:p>
        </w:tc>
        <w:tc>
          <w:tcPr>
            <w:tcW w:w="1324"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 </w:t>
            </w:r>
          </w:p>
        </w:tc>
        <w:tc>
          <w:tcPr>
            <w:tcW w:w="1335"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 </w:t>
            </w:r>
          </w:p>
        </w:tc>
        <w:tc>
          <w:tcPr>
            <w:tcW w:w="1071"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 </w:t>
            </w:r>
          </w:p>
        </w:tc>
        <w:tc>
          <w:tcPr>
            <w:tcW w:w="1132"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 </w:t>
            </w:r>
          </w:p>
        </w:tc>
        <w:tc>
          <w:tcPr>
            <w:tcW w:w="1680"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 </w:t>
            </w:r>
          </w:p>
        </w:tc>
      </w:tr>
      <w:tr>
        <w:tblPrEx>
          <w:shd w:val="clear"/>
          <w:tblLayout w:type="fixed"/>
          <w:tblCellMar>
            <w:top w:w="0" w:type="dxa"/>
            <w:left w:w="0" w:type="dxa"/>
            <w:bottom w:w="0" w:type="dxa"/>
            <w:right w:w="0" w:type="dxa"/>
          </w:tblCellMar>
        </w:tblPrEx>
        <w:trPr>
          <w:trHeight w:val="460" w:hRule="atLeast"/>
          <w:jc w:val="center"/>
        </w:trPr>
        <w:tc>
          <w:tcPr>
            <w:tcW w:w="714"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4</w:t>
            </w:r>
          </w:p>
        </w:tc>
        <w:tc>
          <w:tcPr>
            <w:tcW w:w="1418"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 </w:t>
            </w:r>
          </w:p>
        </w:tc>
        <w:tc>
          <w:tcPr>
            <w:tcW w:w="2526"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 </w:t>
            </w:r>
          </w:p>
        </w:tc>
        <w:tc>
          <w:tcPr>
            <w:tcW w:w="1324"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 </w:t>
            </w:r>
          </w:p>
        </w:tc>
        <w:tc>
          <w:tcPr>
            <w:tcW w:w="1335"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 </w:t>
            </w:r>
          </w:p>
        </w:tc>
        <w:tc>
          <w:tcPr>
            <w:tcW w:w="1071"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 </w:t>
            </w:r>
          </w:p>
        </w:tc>
        <w:tc>
          <w:tcPr>
            <w:tcW w:w="1132"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 </w:t>
            </w:r>
          </w:p>
        </w:tc>
        <w:tc>
          <w:tcPr>
            <w:tcW w:w="1680"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 </w:t>
            </w:r>
          </w:p>
        </w:tc>
      </w:tr>
      <w:tr>
        <w:tblPrEx>
          <w:shd w:val="clear"/>
          <w:tblLayout w:type="fixed"/>
          <w:tblCellMar>
            <w:top w:w="0" w:type="dxa"/>
            <w:left w:w="0" w:type="dxa"/>
            <w:bottom w:w="0" w:type="dxa"/>
            <w:right w:w="0" w:type="dxa"/>
          </w:tblCellMar>
        </w:tblPrEx>
        <w:trPr>
          <w:trHeight w:val="6578" w:hRule="atLeast"/>
          <w:jc w:val="center"/>
        </w:trPr>
        <w:tc>
          <w:tcPr>
            <w:tcW w:w="11200" w:type="dxa"/>
            <w:gridSpan w:val="8"/>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填表说明： </w:t>
            </w:r>
            <w:r>
              <w:rPr>
                <w:rFonts w:ascii="宋体" w:hAnsi="宋体" w:eastAsia="宋体" w:cs="宋体"/>
                <w:kern w:val="0"/>
                <w:sz w:val="24"/>
                <w:szCs w:val="24"/>
                <w:bdr w:val="none" w:color="auto" w:sz="0" w:space="0"/>
                <w:lang w:val="en-US" w:eastAsia="zh-CN" w:bidi="ar"/>
              </w:rPr>
              <w:br w:type="textWrapping"/>
            </w:r>
            <w:r>
              <w:rPr>
                <w:rFonts w:ascii="宋体" w:hAnsi="宋体" w:eastAsia="宋体" w:cs="宋体"/>
                <w:kern w:val="0"/>
                <w:sz w:val="24"/>
                <w:szCs w:val="24"/>
                <w:bdr w:val="none" w:color="auto" w:sz="0" w:space="0"/>
                <w:lang w:val="en-US" w:eastAsia="zh-CN" w:bidi="ar"/>
              </w:rPr>
              <w:br w:type="textWrapping"/>
            </w:r>
            <w:r>
              <w:rPr>
                <w:rFonts w:ascii="宋体" w:hAnsi="宋体" w:eastAsia="宋体" w:cs="宋体"/>
                <w:kern w:val="0"/>
                <w:sz w:val="24"/>
                <w:szCs w:val="24"/>
                <w:bdr w:val="none" w:color="auto" w:sz="0" w:space="0"/>
                <w:lang w:val="en-US" w:eastAsia="zh-CN" w:bidi="ar"/>
              </w:rPr>
              <w:t>　　1.启用时间：系统正式开通使用时间，精确到年。 </w:t>
            </w:r>
            <w:r>
              <w:rPr>
                <w:rFonts w:ascii="宋体" w:hAnsi="宋体" w:eastAsia="宋体" w:cs="宋体"/>
                <w:kern w:val="0"/>
                <w:sz w:val="24"/>
                <w:szCs w:val="24"/>
                <w:bdr w:val="none" w:color="auto" w:sz="0" w:space="0"/>
                <w:lang w:val="en-US" w:eastAsia="zh-CN" w:bidi="ar"/>
              </w:rPr>
              <w:br w:type="textWrapping"/>
            </w:r>
            <w:r>
              <w:rPr>
                <w:rFonts w:ascii="宋体" w:hAnsi="宋体" w:eastAsia="宋体" w:cs="宋体"/>
                <w:kern w:val="0"/>
                <w:sz w:val="24"/>
                <w:szCs w:val="24"/>
                <w:bdr w:val="none" w:color="auto" w:sz="0" w:space="0"/>
                <w:lang w:val="en-US" w:eastAsia="zh-CN" w:bidi="ar"/>
              </w:rPr>
              <w:br w:type="textWrapping"/>
            </w:r>
            <w:r>
              <w:rPr>
                <w:rFonts w:ascii="宋体" w:hAnsi="宋体" w:eastAsia="宋体" w:cs="宋体"/>
                <w:kern w:val="0"/>
                <w:sz w:val="24"/>
                <w:szCs w:val="24"/>
                <w:bdr w:val="none" w:color="auto" w:sz="0" w:space="0"/>
                <w:lang w:val="en-US" w:eastAsia="zh-CN" w:bidi="ar"/>
              </w:rPr>
              <w:t>　　2.实际占用资源规模—服务器数量：系统运行实际占用服务器数（以台为单位）。 </w:t>
            </w:r>
            <w:r>
              <w:rPr>
                <w:rFonts w:ascii="宋体" w:hAnsi="宋体" w:eastAsia="宋体" w:cs="宋体"/>
                <w:kern w:val="0"/>
                <w:sz w:val="24"/>
                <w:szCs w:val="24"/>
                <w:bdr w:val="none" w:color="auto" w:sz="0" w:space="0"/>
                <w:lang w:val="en-US" w:eastAsia="zh-CN" w:bidi="ar"/>
              </w:rPr>
              <w:br w:type="textWrapping"/>
            </w:r>
            <w:r>
              <w:rPr>
                <w:rFonts w:ascii="宋体" w:hAnsi="宋体" w:eastAsia="宋体" w:cs="宋体"/>
                <w:kern w:val="0"/>
                <w:sz w:val="24"/>
                <w:szCs w:val="24"/>
                <w:bdr w:val="none" w:color="auto" w:sz="0" w:space="0"/>
                <w:lang w:val="en-US" w:eastAsia="zh-CN" w:bidi="ar"/>
              </w:rPr>
              <w:br w:type="textWrapping"/>
            </w:r>
            <w:r>
              <w:rPr>
                <w:rFonts w:ascii="宋体" w:hAnsi="宋体" w:eastAsia="宋体" w:cs="宋体"/>
                <w:kern w:val="0"/>
                <w:sz w:val="24"/>
                <w:szCs w:val="24"/>
                <w:bdr w:val="none" w:color="auto" w:sz="0" w:space="0"/>
                <w:lang w:val="en-US" w:eastAsia="zh-CN" w:bidi="ar"/>
              </w:rPr>
              <w:t>　　3.实际占用资源规模—存储容量：系统运行实际占用存储容量（以TB或GB为单位）。 </w:t>
            </w:r>
            <w:r>
              <w:rPr>
                <w:rFonts w:ascii="宋体" w:hAnsi="宋体" w:eastAsia="宋体" w:cs="宋体"/>
                <w:kern w:val="0"/>
                <w:sz w:val="24"/>
                <w:szCs w:val="24"/>
                <w:bdr w:val="none" w:color="auto" w:sz="0" w:space="0"/>
                <w:lang w:val="en-US" w:eastAsia="zh-CN" w:bidi="ar"/>
              </w:rPr>
              <w:br w:type="textWrapping"/>
            </w:r>
            <w:r>
              <w:rPr>
                <w:rFonts w:ascii="宋体" w:hAnsi="宋体" w:eastAsia="宋体" w:cs="宋体"/>
                <w:kern w:val="0"/>
                <w:sz w:val="24"/>
                <w:szCs w:val="24"/>
                <w:bdr w:val="none" w:color="auto" w:sz="0" w:space="0"/>
                <w:lang w:val="en-US" w:eastAsia="zh-CN" w:bidi="ar"/>
              </w:rPr>
              <w:br w:type="textWrapping"/>
            </w:r>
            <w:r>
              <w:rPr>
                <w:rFonts w:ascii="宋体" w:hAnsi="宋体" w:eastAsia="宋体" w:cs="宋体"/>
                <w:kern w:val="0"/>
                <w:sz w:val="24"/>
                <w:szCs w:val="24"/>
                <w:bdr w:val="none" w:color="auto" w:sz="0" w:space="0"/>
                <w:lang w:val="en-US" w:eastAsia="zh-CN" w:bidi="ar"/>
              </w:rPr>
              <w:t>　　4.承载网络：在“电子政务外网”“省内业务专网”“国家业务专网”“互联网”中选择。 </w:t>
            </w:r>
            <w:r>
              <w:rPr>
                <w:rFonts w:ascii="宋体" w:hAnsi="宋体" w:eastAsia="宋体" w:cs="宋体"/>
                <w:kern w:val="0"/>
                <w:sz w:val="24"/>
                <w:szCs w:val="24"/>
                <w:bdr w:val="none" w:color="auto" w:sz="0" w:space="0"/>
                <w:lang w:val="en-US" w:eastAsia="zh-CN" w:bidi="ar"/>
              </w:rPr>
              <w:br w:type="textWrapping"/>
            </w:r>
            <w:r>
              <w:rPr>
                <w:rFonts w:ascii="宋体" w:hAnsi="宋体" w:eastAsia="宋体" w:cs="宋体"/>
                <w:kern w:val="0"/>
                <w:sz w:val="24"/>
                <w:szCs w:val="24"/>
                <w:bdr w:val="none" w:color="auto" w:sz="0" w:space="0"/>
                <w:lang w:val="en-US" w:eastAsia="zh-CN" w:bidi="ar"/>
              </w:rPr>
              <w:br w:type="textWrapping"/>
            </w:r>
            <w:r>
              <w:rPr>
                <w:rFonts w:ascii="宋体" w:hAnsi="宋体" w:eastAsia="宋体" w:cs="宋体"/>
                <w:kern w:val="0"/>
                <w:sz w:val="24"/>
                <w:szCs w:val="24"/>
                <w:bdr w:val="none" w:color="auto" w:sz="0" w:space="0"/>
                <w:lang w:val="en-US" w:eastAsia="zh-CN" w:bidi="ar"/>
              </w:rPr>
              <w:t>　　5.计划迁移时间：计划启动迁移上政务云的时间，精确到月份，截止时限为2018年1月。 </w:t>
            </w:r>
            <w:r>
              <w:rPr>
                <w:rFonts w:ascii="宋体" w:hAnsi="宋体" w:eastAsia="宋体" w:cs="宋体"/>
                <w:kern w:val="0"/>
                <w:sz w:val="24"/>
                <w:szCs w:val="24"/>
                <w:bdr w:val="none" w:color="auto" w:sz="0" w:space="0"/>
                <w:lang w:val="en-US" w:eastAsia="zh-CN" w:bidi="ar"/>
              </w:rPr>
              <w:br w:type="textWrapping"/>
            </w:r>
            <w:r>
              <w:rPr>
                <w:rFonts w:ascii="宋体" w:hAnsi="宋体" w:eastAsia="宋体" w:cs="宋体"/>
                <w:kern w:val="0"/>
                <w:sz w:val="24"/>
                <w:szCs w:val="24"/>
                <w:bdr w:val="none" w:color="auto" w:sz="0" w:space="0"/>
                <w:lang w:val="en-US" w:eastAsia="zh-CN" w:bidi="ar"/>
              </w:rPr>
              <w:br w:type="textWrapping"/>
            </w:r>
            <w:r>
              <w:rPr>
                <w:rFonts w:ascii="宋体" w:hAnsi="宋体" w:eastAsia="宋体" w:cs="宋体"/>
                <w:kern w:val="0"/>
                <w:sz w:val="24"/>
                <w:szCs w:val="24"/>
                <w:bdr w:val="none" w:color="auto" w:sz="0" w:space="0"/>
                <w:lang w:val="en-US" w:eastAsia="zh-CN" w:bidi="ar"/>
              </w:rPr>
              <w:t>　　6.涉密及等级保护4级以上或已完成迁移的信息系统不予统计；已完成迁移的信息系统不再重复提交。 </w:t>
            </w:r>
            <w:r>
              <w:rPr>
                <w:rFonts w:ascii="宋体" w:hAnsi="宋体" w:eastAsia="宋体" w:cs="宋体"/>
                <w:kern w:val="0"/>
                <w:sz w:val="24"/>
                <w:szCs w:val="24"/>
                <w:bdr w:val="none" w:color="auto" w:sz="0" w:space="0"/>
                <w:lang w:val="en-US" w:eastAsia="zh-CN" w:bidi="ar"/>
              </w:rPr>
              <w:br w:type="textWrapping"/>
            </w:r>
            <w:r>
              <w:rPr>
                <w:rFonts w:ascii="宋体" w:hAnsi="宋体" w:eastAsia="宋体" w:cs="宋体"/>
                <w:kern w:val="0"/>
                <w:sz w:val="24"/>
                <w:szCs w:val="24"/>
                <w:bdr w:val="none" w:color="auto" w:sz="0" w:space="0"/>
                <w:lang w:val="en-US" w:eastAsia="zh-CN" w:bidi="ar"/>
              </w:rPr>
              <w:br w:type="textWrapping"/>
            </w:r>
            <w:r>
              <w:rPr>
                <w:rFonts w:ascii="宋体" w:hAnsi="宋体" w:eastAsia="宋体" w:cs="宋体"/>
                <w:kern w:val="0"/>
                <w:sz w:val="24"/>
                <w:szCs w:val="24"/>
                <w:bdr w:val="none" w:color="auto" w:sz="0" w:space="0"/>
                <w:lang w:val="en-US" w:eastAsia="zh-CN" w:bidi="ar"/>
              </w:rPr>
              <w:t>　　7.计划表上交时，纸质文档连同电子文档一同上交。</w:t>
            </w:r>
          </w:p>
        </w:tc>
      </w:tr>
    </w:tbl>
    <w:p>
      <w:pPr>
        <w:keepNext w:val="0"/>
        <w:keepLines w:val="0"/>
        <w:widowControl/>
        <w:suppressLineNumbers w:val="0"/>
        <w:jc w:val="left"/>
      </w:pPr>
    </w:p>
    <w:p>
      <w:pPr>
        <w:keepNext w:val="0"/>
        <w:keepLines w:val="0"/>
        <w:widowControl/>
        <w:suppressLineNumbers w:val="0"/>
        <w:jc w:val="left"/>
        <w:rPr>
          <w:rFonts w:ascii="微软雅黑" w:hAnsi="微软雅黑" w:eastAsia="微软雅黑" w:cs="微软雅黑"/>
          <w:b w:val="0"/>
          <w:i w:val="0"/>
          <w:caps w:val="0"/>
          <w:color w:val="333333"/>
          <w:spacing w:val="0"/>
          <w:kern w:val="0"/>
          <w:sz w:val="24"/>
          <w:szCs w:val="24"/>
          <w:shd w:val="clear" w:fill="FFFFFF"/>
          <w:lang w:val="en-US" w:eastAsia="zh-CN" w:bidi="ar"/>
        </w:rPr>
      </w:pPr>
      <w:r>
        <w:rPr>
          <w:rFonts w:ascii="微软雅黑" w:hAnsi="微软雅黑" w:eastAsia="微软雅黑" w:cs="微软雅黑"/>
          <w:b w:val="0"/>
          <w:i w:val="0"/>
          <w:caps w:val="0"/>
          <w:color w:val="333333"/>
          <w:spacing w:val="0"/>
          <w:kern w:val="0"/>
          <w:sz w:val="24"/>
          <w:szCs w:val="24"/>
          <w:shd w:val="clear" w:fill="FFFFFF"/>
          <w:lang w:val="en-US" w:eastAsia="zh-CN" w:bidi="ar"/>
        </w:rPr>
        <w:br w:type="page"/>
      </w:r>
    </w:p>
    <w:p>
      <w:pPr>
        <w:keepNext w:val="0"/>
        <w:keepLines w:val="0"/>
        <w:widowControl/>
        <w:suppressLineNumbers w:val="0"/>
        <w:jc w:val="left"/>
      </w:pPr>
      <w:r>
        <w:rPr>
          <w:rFonts w:ascii="微软雅黑" w:hAnsi="微软雅黑" w:eastAsia="微软雅黑" w:cs="微软雅黑"/>
          <w:b w:val="0"/>
          <w:i w:val="0"/>
          <w:caps w:val="0"/>
          <w:color w:val="333333"/>
          <w:spacing w:val="0"/>
          <w:kern w:val="0"/>
          <w:sz w:val="24"/>
          <w:szCs w:val="24"/>
          <w:shd w:val="clear" w:fill="FFFFFF"/>
          <w:lang w:val="en-US" w:eastAsia="zh-CN" w:bidi="ar"/>
        </w:rPr>
        <w:t>附件2</w:t>
      </w:r>
      <w:r>
        <w:rPr>
          <w:rFonts w:hint="eastAsia" w:ascii="微软雅黑" w:hAnsi="微软雅黑" w:eastAsia="微软雅黑" w:cs="微软雅黑"/>
          <w:b w:val="0"/>
          <w:i w:val="0"/>
          <w:caps w:val="0"/>
          <w:color w:val="333333"/>
          <w:spacing w:val="0"/>
          <w:kern w:val="0"/>
          <w:sz w:val="24"/>
          <w:szCs w:val="24"/>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hint="eastAsia" w:ascii="微软雅黑" w:hAnsi="微软雅黑" w:eastAsia="微软雅黑" w:cs="微软雅黑"/>
          <w:b w:val="0"/>
          <w:i w:val="0"/>
          <w:caps w:val="0"/>
          <w:color w:val="333333"/>
          <w:spacing w:val="0"/>
          <w:sz w:val="24"/>
          <w:szCs w:val="24"/>
        </w:rPr>
      </w:pPr>
      <w:r>
        <w:rPr>
          <w:rFonts w:hint="eastAsia" w:ascii="微软雅黑" w:hAnsi="微软雅黑" w:eastAsia="微软雅黑" w:cs="微软雅黑"/>
          <w:b w:val="0"/>
          <w:i w:val="0"/>
          <w:caps w:val="0"/>
          <w:color w:val="333333"/>
          <w:spacing w:val="0"/>
          <w:kern w:val="0"/>
          <w:sz w:val="24"/>
          <w:szCs w:val="24"/>
          <w:bdr w:val="none" w:color="auto" w:sz="0" w:space="0"/>
          <w:shd w:val="clear" w:fill="FFFFFF"/>
          <w:lang w:val="en-US" w:eastAsia="zh-CN" w:bidi="ar"/>
        </w:rPr>
        <w:t>　　泸州市2018年政务信息系统整合共享工作 </w:t>
      </w:r>
      <w:r>
        <w:rPr>
          <w:rFonts w:hint="eastAsia" w:ascii="微软雅黑" w:hAnsi="微软雅黑" w:eastAsia="微软雅黑" w:cs="微软雅黑"/>
          <w:b w:val="0"/>
          <w:i w:val="0"/>
          <w:caps w:val="0"/>
          <w:color w:val="333333"/>
          <w:spacing w:val="0"/>
          <w:kern w:val="0"/>
          <w:sz w:val="24"/>
          <w:szCs w:val="24"/>
          <w:bdr w:val="none" w:color="auto" w:sz="0" w:space="0"/>
          <w:shd w:val="clear" w:fill="FFFFFF"/>
          <w:lang w:val="en-US" w:eastAsia="zh-CN" w:bidi="ar"/>
        </w:rPr>
        <w:br w:type="textWrapping"/>
      </w:r>
      <w:r>
        <w:rPr>
          <w:rFonts w:hint="eastAsia" w:ascii="微软雅黑" w:hAnsi="微软雅黑" w:eastAsia="微软雅黑" w:cs="微软雅黑"/>
          <w:b w:val="0"/>
          <w:i w:val="0"/>
          <w:caps w:val="0"/>
          <w:color w:val="333333"/>
          <w:spacing w:val="0"/>
          <w:kern w:val="0"/>
          <w:sz w:val="24"/>
          <w:szCs w:val="24"/>
          <w:bdr w:val="none" w:color="auto" w:sz="0" w:space="0"/>
          <w:shd w:val="clear" w:fill="FFFFFF"/>
          <w:lang w:val="en-US" w:eastAsia="zh-CN" w:bidi="ar"/>
        </w:rPr>
        <w:br w:type="textWrapping"/>
      </w:r>
      <w:r>
        <w:rPr>
          <w:rFonts w:hint="eastAsia" w:ascii="微软雅黑" w:hAnsi="微软雅黑" w:eastAsia="微软雅黑" w:cs="微软雅黑"/>
          <w:b w:val="0"/>
          <w:i w:val="0"/>
          <w:caps w:val="0"/>
          <w:color w:val="333333"/>
          <w:spacing w:val="0"/>
          <w:kern w:val="0"/>
          <w:sz w:val="24"/>
          <w:szCs w:val="24"/>
          <w:bdr w:val="none" w:color="auto" w:sz="0" w:space="0"/>
          <w:shd w:val="clear" w:fill="FFFFFF"/>
          <w:lang w:val="en-US" w:eastAsia="zh-CN" w:bidi="ar"/>
        </w:rPr>
        <w:t>　　重点任务清单</w:t>
      </w:r>
    </w:p>
    <w:p>
      <w:pPr>
        <w:keepNext w:val="0"/>
        <w:keepLines w:val="0"/>
        <w:widowControl/>
        <w:suppressLineNumbers w:val="0"/>
        <w:jc w:val="left"/>
      </w:pPr>
      <w:r>
        <w:rPr>
          <w:rFonts w:hint="eastAsia" w:ascii="微软雅黑" w:hAnsi="微软雅黑" w:eastAsia="微软雅黑" w:cs="微软雅黑"/>
          <w:b w:val="0"/>
          <w:i w:val="0"/>
          <w:caps w:val="0"/>
          <w:color w:val="333333"/>
          <w:spacing w:val="0"/>
          <w:kern w:val="0"/>
          <w:sz w:val="24"/>
          <w:szCs w:val="24"/>
          <w:shd w:val="clear" w:fill="FFFFFF"/>
          <w:lang w:val="en-US" w:eastAsia="zh-CN" w:bidi="ar"/>
        </w:rPr>
        <w:t>　　</w:t>
      </w:r>
    </w:p>
    <w:tbl>
      <w:tblPr>
        <w:tblW w:w="10350" w:type="dxa"/>
        <w:jc w:val="center"/>
        <w:tblInd w:w="-1022" w:type="dxa"/>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shd w:val="clear"/>
        <w:tblLayout w:type="fixed"/>
        <w:tblCellMar>
          <w:top w:w="0" w:type="dxa"/>
          <w:left w:w="0" w:type="dxa"/>
          <w:bottom w:w="0" w:type="dxa"/>
          <w:right w:w="0" w:type="dxa"/>
        </w:tblCellMar>
      </w:tblPr>
      <w:tblGrid>
        <w:gridCol w:w="720"/>
        <w:gridCol w:w="1620"/>
        <w:gridCol w:w="1065"/>
        <w:gridCol w:w="3975"/>
        <w:gridCol w:w="2970"/>
      </w:tblGrid>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tblHeader/>
          <w:jc w:val="center"/>
        </w:trPr>
        <w:tc>
          <w:tcPr>
            <w:tcW w:w="720"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序号</w:t>
            </w:r>
          </w:p>
        </w:tc>
        <w:tc>
          <w:tcPr>
            <w:tcW w:w="1620"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事项名称</w:t>
            </w:r>
          </w:p>
        </w:tc>
        <w:tc>
          <w:tcPr>
            <w:tcW w:w="1065"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完成时间</w:t>
            </w:r>
          </w:p>
        </w:tc>
        <w:tc>
          <w:tcPr>
            <w:tcW w:w="3975"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事项内容</w:t>
            </w:r>
          </w:p>
        </w:tc>
        <w:tc>
          <w:tcPr>
            <w:tcW w:w="2970"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责任部门</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shd w:val="clear"/>
          <w:tblLayout w:type="fixed"/>
          <w:tblCellMar>
            <w:top w:w="0" w:type="dxa"/>
            <w:left w:w="0" w:type="dxa"/>
            <w:bottom w:w="0" w:type="dxa"/>
            <w:right w:w="0" w:type="dxa"/>
          </w:tblCellMar>
        </w:tblPrEx>
        <w:trPr>
          <w:jc w:val="center"/>
        </w:trPr>
        <w:tc>
          <w:tcPr>
            <w:tcW w:w="720"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w:t>
            </w:r>
          </w:p>
        </w:tc>
        <w:tc>
          <w:tcPr>
            <w:tcW w:w="1620"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政务信息系统自查自纠</w:t>
            </w:r>
          </w:p>
        </w:tc>
        <w:tc>
          <w:tcPr>
            <w:tcW w:w="1065"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3月底</w:t>
            </w:r>
          </w:p>
        </w:tc>
        <w:tc>
          <w:tcPr>
            <w:tcW w:w="3975"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1.政务信息系统整合情况进行全面自查。 </w:t>
            </w:r>
            <w:r>
              <w:rPr>
                <w:rFonts w:ascii="宋体" w:hAnsi="宋体" w:eastAsia="宋体" w:cs="宋体"/>
                <w:kern w:val="0"/>
                <w:sz w:val="24"/>
                <w:szCs w:val="24"/>
                <w:bdr w:val="none" w:color="auto" w:sz="0" w:space="0"/>
                <w:lang w:val="en-US" w:eastAsia="zh-CN" w:bidi="ar"/>
              </w:rPr>
              <w:br w:type="textWrapping"/>
            </w:r>
            <w:r>
              <w:rPr>
                <w:rFonts w:ascii="宋体" w:hAnsi="宋体" w:eastAsia="宋体" w:cs="宋体"/>
                <w:kern w:val="0"/>
                <w:sz w:val="24"/>
                <w:szCs w:val="24"/>
                <w:bdr w:val="none" w:color="auto" w:sz="0" w:space="0"/>
                <w:lang w:val="en-US" w:eastAsia="zh-CN" w:bidi="ar"/>
              </w:rPr>
              <w:t>2.清理“僵尸”信息系统，梳理政务信息系统整合清单。 </w:t>
            </w:r>
            <w:r>
              <w:rPr>
                <w:rFonts w:ascii="宋体" w:hAnsi="宋体" w:eastAsia="宋体" w:cs="宋体"/>
                <w:kern w:val="0"/>
                <w:sz w:val="24"/>
                <w:szCs w:val="24"/>
                <w:bdr w:val="none" w:color="auto" w:sz="0" w:space="0"/>
                <w:lang w:val="en-US" w:eastAsia="zh-CN" w:bidi="ar"/>
              </w:rPr>
              <w:br w:type="textWrapping"/>
            </w:r>
            <w:r>
              <w:rPr>
                <w:rFonts w:ascii="宋体" w:hAnsi="宋体" w:eastAsia="宋体" w:cs="宋体"/>
                <w:kern w:val="0"/>
                <w:sz w:val="24"/>
                <w:szCs w:val="24"/>
                <w:bdr w:val="none" w:color="auto" w:sz="0" w:space="0"/>
                <w:lang w:val="en-US" w:eastAsia="zh-CN" w:bidi="ar"/>
              </w:rPr>
              <w:t>3.自查报告和整合工作计划报送市政府办公室和市经济和信息化委。</w:t>
            </w:r>
          </w:p>
        </w:tc>
        <w:tc>
          <w:tcPr>
            <w:tcW w:w="2970"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各县（区）、各园区、市级各部门</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720"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2</w:t>
            </w:r>
          </w:p>
        </w:tc>
        <w:tc>
          <w:tcPr>
            <w:tcW w:w="1620"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加快内部信息系统整合</w:t>
            </w:r>
          </w:p>
        </w:tc>
        <w:tc>
          <w:tcPr>
            <w:tcW w:w="1065"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6月底</w:t>
            </w:r>
          </w:p>
        </w:tc>
        <w:tc>
          <w:tcPr>
            <w:tcW w:w="3975"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1.整合各分散独立的政务信息系统整合为一个互联互通、业务协同、信息共享的“大系统”。 </w:t>
            </w:r>
            <w:r>
              <w:rPr>
                <w:rFonts w:ascii="宋体" w:hAnsi="宋体" w:eastAsia="宋体" w:cs="宋体"/>
                <w:kern w:val="0"/>
                <w:sz w:val="24"/>
                <w:szCs w:val="24"/>
                <w:bdr w:val="none" w:color="auto" w:sz="0" w:space="0"/>
                <w:lang w:val="en-US" w:eastAsia="zh-CN" w:bidi="ar"/>
              </w:rPr>
              <w:br w:type="textWrapping"/>
            </w:r>
            <w:r>
              <w:rPr>
                <w:rFonts w:ascii="宋体" w:hAnsi="宋体" w:eastAsia="宋体" w:cs="宋体"/>
                <w:kern w:val="0"/>
                <w:sz w:val="24"/>
                <w:szCs w:val="24"/>
                <w:bdr w:val="none" w:color="auto" w:sz="0" w:space="0"/>
                <w:lang w:val="en-US" w:eastAsia="zh-CN" w:bidi="ar"/>
              </w:rPr>
              <w:t>2.每月进度报送中更新整合状态。</w:t>
            </w:r>
          </w:p>
        </w:tc>
        <w:tc>
          <w:tcPr>
            <w:tcW w:w="2970"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各县（区）、各园区、市级各部门</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shd w:val="clear"/>
          <w:tblLayout w:type="fixed"/>
          <w:tblCellMar>
            <w:top w:w="0" w:type="dxa"/>
            <w:left w:w="0" w:type="dxa"/>
            <w:bottom w:w="0" w:type="dxa"/>
            <w:right w:w="0" w:type="dxa"/>
          </w:tblCellMar>
        </w:tblPrEx>
        <w:trPr>
          <w:jc w:val="center"/>
        </w:trPr>
        <w:tc>
          <w:tcPr>
            <w:tcW w:w="720" w:type="dxa"/>
            <w:vMerge w:val="restart"/>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3</w:t>
            </w:r>
          </w:p>
        </w:tc>
        <w:tc>
          <w:tcPr>
            <w:tcW w:w="1620" w:type="dxa"/>
            <w:vMerge w:val="restart"/>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大力推动应用迁移上云</w:t>
            </w:r>
          </w:p>
        </w:tc>
        <w:tc>
          <w:tcPr>
            <w:tcW w:w="1065"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3月底</w:t>
            </w:r>
          </w:p>
        </w:tc>
        <w:tc>
          <w:tcPr>
            <w:tcW w:w="3975"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梳理未迁移至华为四川大数据中心的非涉密政务信息系统，向市经济和信息化委提交迁移计划表。</w:t>
            </w:r>
          </w:p>
        </w:tc>
        <w:tc>
          <w:tcPr>
            <w:tcW w:w="2970"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市级各部门</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720" w:type="dxa"/>
            <w:vMerge w:val="continue"/>
            <w:tcBorders>
              <w:top w:val="single" w:color="000000" w:sz="6" w:space="0"/>
              <w:left w:val="single" w:color="000000" w:sz="6" w:space="0"/>
              <w:bottom w:val="single" w:color="000000" w:sz="6" w:space="0"/>
              <w:right w:val="single" w:color="000000" w:sz="6" w:space="0"/>
            </w:tcBorders>
            <w:shd w:val="clear"/>
            <w:vAlign w:val="center"/>
          </w:tcPr>
          <w:p>
            <w:pPr>
              <w:jc w:val="center"/>
              <w:rPr>
                <w:rFonts w:hint="eastAsia" w:ascii="宋体"/>
                <w:sz w:val="24"/>
                <w:szCs w:val="24"/>
              </w:rPr>
            </w:pPr>
          </w:p>
        </w:tc>
        <w:tc>
          <w:tcPr>
            <w:tcW w:w="1620" w:type="dxa"/>
            <w:vMerge w:val="continue"/>
            <w:tcBorders>
              <w:top w:val="single" w:color="000000" w:sz="6" w:space="0"/>
              <w:left w:val="single" w:color="000000" w:sz="6" w:space="0"/>
              <w:bottom w:val="single" w:color="000000" w:sz="6" w:space="0"/>
              <w:right w:val="single" w:color="000000" w:sz="6" w:space="0"/>
            </w:tcBorders>
            <w:shd w:val="clear"/>
            <w:vAlign w:val="center"/>
          </w:tcPr>
          <w:p>
            <w:pPr>
              <w:jc w:val="center"/>
              <w:rPr>
                <w:rFonts w:hint="eastAsia" w:ascii="宋体"/>
                <w:sz w:val="24"/>
                <w:szCs w:val="24"/>
              </w:rPr>
            </w:pPr>
          </w:p>
        </w:tc>
        <w:tc>
          <w:tcPr>
            <w:tcW w:w="1065"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6月底</w:t>
            </w:r>
          </w:p>
        </w:tc>
        <w:tc>
          <w:tcPr>
            <w:tcW w:w="3975"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将所有市级非涉密信息系统全部迁移至华为四川大数据中心。</w:t>
            </w:r>
          </w:p>
        </w:tc>
        <w:tc>
          <w:tcPr>
            <w:tcW w:w="2970"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市级各部门</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shd w:val="clear"/>
          <w:tblLayout w:type="fixed"/>
          <w:tblCellMar>
            <w:top w:w="0" w:type="dxa"/>
            <w:left w:w="0" w:type="dxa"/>
            <w:bottom w:w="0" w:type="dxa"/>
            <w:right w:w="0" w:type="dxa"/>
          </w:tblCellMar>
        </w:tblPrEx>
        <w:trPr>
          <w:jc w:val="center"/>
        </w:trPr>
        <w:tc>
          <w:tcPr>
            <w:tcW w:w="720" w:type="dxa"/>
            <w:vMerge w:val="continue"/>
            <w:tcBorders>
              <w:top w:val="single" w:color="000000" w:sz="6" w:space="0"/>
              <w:left w:val="single" w:color="000000" w:sz="6" w:space="0"/>
              <w:bottom w:val="single" w:color="000000" w:sz="6" w:space="0"/>
              <w:right w:val="single" w:color="000000" w:sz="6" w:space="0"/>
            </w:tcBorders>
            <w:shd w:val="clear"/>
            <w:vAlign w:val="center"/>
          </w:tcPr>
          <w:p>
            <w:pPr>
              <w:jc w:val="center"/>
              <w:rPr>
                <w:rFonts w:hint="eastAsia" w:ascii="宋体"/>
                <w:sz w:val="24"/>
                <w:szCs w:val="24"/>
              </w:rPr>
            </w:pPr>
          </w:p>
        </w:tc>
        <w:tc>
          <w:tcPr>
            <w:tcW w:w="1620" w:type="dxa"/>
            <w:vMerge w:val="continue"/>
            <w:tcBorders>
              <w:top w:val="single" w:color="000000" w:sz="6" w:space="0"/>
              <w:left w:val="single" w:color="000000" w:sz="6" w:space="0"/>
              <w:bottom w:val="single" w:color="000000" w:sz="6" w:space="0"/>
              <w:right w:val="single" w:color="000000" w:sz="6" w:space="0"/>
            </w:tcBorders>
            <w:shd w:val="clear"/>
            <w:vAlign w:val="center"/>
          </w:tcPr>
          <w:p>
            <w:pPr>
              <w:jc w:val="center"/>
              <w:rPr>
                <w:rFonts w:hint="eastAsia" w:ascii="宋体"/>
                <w:sz w:val="24"/>
                <w:szCs w:val="24"/>
              </w:rPr>
            </w:pPr>
          </w:p>
        </w:tc>
        <w:tc>
          <w:tcPr>
            <w:tcW w:w="1065"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4月底</w:t>
            </w:r>
          </w:p>
        </w:tc>
        <w:tc>
          <w:tcPr>
            <w:tcW w:w="3975"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1.梳理未迁移至华为四川大数据中心的非涉密政务信息系统，向市经济和信息化委提交迁移计划表。 </w:t>
            </w:r>
            <w:r>
              <w:rPr>
                <w:rFonts w:ascii="宋体" w:hAnsi="宋体" w:eastAsia="宋体" w:cs="宋体"/>
                <w:kern w:val="0"/>
                <w:sz w:val="24"/>
                <w:szCs w:val="24"/>
                <w:bdr w:val="none" w:color="auto" w:sz="0" w:space="0"/>
                <w:lang w:val="en-US" w:eastAsia="zh-CN" w:bidi="ar"/>
              </w:rPr>
              <w:br w:type="textWrapping"/>
            </w:r>
            <w:r>
              <w:rPr>
                <w:rFonts w:ascii="宋体" w:hAnsi="宋体" w:eastAsia="宋体" w:cs="宋体"/>
                <w:kern w:val="0"/>
                <w:sz w:val="24"/>
                <w:szCs w:val="24"/>
                <w:bdr w:val="none" w:color="auto" w:sz="0" w:space="0"/>
                <w:lang w:val="en-US" w:eastAsia="zh-CN" w:bidi="ar"/>
              </w:rPr>
              <w:t>2.将云服务费用纳入本级财政预算，并参照市级制定迁移工作方案，迁移流程细则, 于4月底前上报市经济和信息化委备案。</w:t>
            </w:r>
          </w:p>
        </w:tc>
        <w:tc>
          <w:tcPr>
            <w:tcW w:w="2970"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各县（区）、各园区</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720"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4</w:t>
            </w:r>
          </w:p>
        </w:tc>
        <w:tc>
          <w:tcPr>
            <w:tcW w:w="1620"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完善市数据资源管理服务平台</w:t>
            </w:r>
          </w:p>
        </w:tc>
        <w:tc>
          <w:tcPr>
            <w:tcW w:w="1065"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3月底</w:t>
            </w:r>
          </w:p>
        </w:tc>
        <w:tc>
          <w:tcPr>
            <w:tcW w:w="3975"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1.基本完成我市政务信息资源共享平台和共享网站建设。 </w:t>
            </w:r>
            <w:r>
              <w:rPr>
                <w:rFonts w:ascii="宋体" w:hAnsi="宋体" w:eastAsia="宋体" w:cs="宋体"/>
                <w:kern w:val="0"/>
                <w:sz w:val="24"/>
                <w:szCs w:val="24"/>
                <w:bdr w:val="none" w:color="auto" w:sz="0" w:space="0"/>
                <w:lang w:val="en-US" w:eastAsia="zh-CN" w:bidi="ar"/>
              </w:rPr>
              <w:br w:type="textWrapping"/>
            </w:r>
            <w:r>
              <w:rPr>
                <w:rFonts w:ascii="宋体" w:hAnsi="宋体" w:eastAsia="宋体" w:cs="宋体"/>
                <w:kern w:val="0"/>
                <w:sz w:val="24"/>
                <w:szCs w:val="24"/>
                <w:bdr w:val="none" w:color="auto" w:sz="0" w:space="0"/>
                <w:lang w:val="en-US" w:eastAsia="zh-CN" w:bidi="ar"/>
              </w:rPr>
              <w:t>2.实现我市共享平台与省级共享平台级联对接。 </w:t>
            </w:r>
            <w:r>
              <w:rPr>
                <w:rFonts w:ascii="宋体" w:hAnsi="宋体" w:eastAsia="宋体" w:cs="宋体"/>
                <w:kern w:val="0"/>
                <w:sz w:val="24"/>
                <w:szCs w:val="24"/>
                <w:bdr w:val="none" w:color="auto" w:sz="0" w:space="0"/>
                <w:lang w:val="en-US" w:eastAsia="zh-CN" w:bidi="ar"/>
              </w:rPr>
              <w:br w:type="textWrapping"/>
            </w:r>
            <w:r>
              <w:rPr>
                <w:rFonts w:ascii="宋体" w:hAnsi="宋体" w:eastAsia="宋体" w:cs="宋体"/>
                <w:kern w:val="0"/>
                <w:sz w:val="24"/>
                <w:szCs w:val="24"/>
                <w:bdr w:val="none" w:color="auto" w:sz="0" w:space="0"/>
                <w:lang w:val="en-US" w:eastAsia="zh-CN" w:bidi="ar"/>
              </w:rPr>
              <w:t>3.基本具备跨层级、跨系统、跨部门、跨业务的支撑服务能力。</w:t>
            </w:r>
          </w:p>
        </w:tc>
        <w:tc>
          <w:tcPr>
            <w:tcW w:w="2970"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市经济和信息化委</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720"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5</w:t>
            </w:r>
          </w:p>
        </w:tc>
        <w:tc>
          <w:tcPr>
            <w:tcW w:w="1620"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完成市数据资源管理服务平台一期安全防范措施</w:t>
            </w:r>
          </w:p>
        </w:tc>
        <w:tc>
          <w:tcPr>
            <w:tcW w:w="1065"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8月底</w:t>
            </w:r>
          </w:p>
        </w:tc>
        <w:tc>
          <w:tcPr>
            <w:tcW w:w="3975"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市数据资源管理服务平台一期，按照国家信息系统等级保护三级要求，完成测评、定级、备案等相关工作。</w:t>
            </w:r>
          </w:p>
        </w:tc>
        <w:tc>
          <w:tcPr>
            <w:tcW w:w="2970"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市经济和信息化委</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shd w:val="clear"/>
          <w:tblLayout w:type="fixed"/>
          <w:tblCellMar>
            <w:top w:w="0" w:type="dxa"/>
            <w:left w:w="0" w:type="dxa"/>
            <w:bottom w:w="0" w:type="dxa"/>
            <w:right w:w="0" w:type="dxa"/>
          </w:tblCellMar>
        </w:tblPrEx>
        <w:trPr>
          <w:jc w:val="center"/>
        </w:trPr>
        <w:tc>
          <w:tcPr>
            <w:tcW w:w="720"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6</w:t>
            </w:r>
          </w:p>
        </w:tc>
        <w:tc>
          <w:tcPr>
            <w:tcW w:w="1620"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启动数据资源管理服务平台二期</w:t>
            </w:r>
          </w:p>
        </w:tc>
        <w:tc>
          <w:tcPr>
            <w:tcW w:w="1065"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12月底</w:t>
            </w:r>
          </w:p>
        </w:tc>
        <w:tc>
          <w:tcPr>
            <w:tcW w:w="3975"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启动数据资源管理服务平台二期建设，整合各县（区）、各园区政务信息资源，做到“自下而上”、“多级互通”。</w:t>
            </w:r>
          </w:p>
        </w:tc>
        <w:tc>
          <w:tcPr>
            <w:tcW w:w="2970"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市经济和信息化委</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shd w:val="clear"/>
          <w:tblLayout w:type="fixed"/>
          <w:tblCellMar>
            <w:top w:w="0" w:type="dxa"/>
            <w:left w:w="0" w:type="dxa"/>
            <w:bottom w:w="0" w:type="dxa"/>
            <w:right w:w="0" w:type="dxa"/>
          </w:tblCellMar>
        </w:tblPrEx>
        <w:trPr>
          <w:jc w:val="center"/>
        </w:trPr>
        <w:tc>
          <w:tcPr>
            <w:tcW w:w="720"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7</w:t>
            </w:r>
          </w:p>
        </w:tc>
        <w:tc>
          <w:tcPr>
            <w:tcW w:w="1620"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制定《泸州市政务信息资源目录编制指南》</w:t>
            </w:r>
          </w:p>
        </w:tc>
        <w:tc>
          <w:tcPr>
            <w:tcW w:w="1065"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4月底</w:t>
            </w:r>
          </w:p>
        </w:tc>
        <w:tc>
          <w:tcPr>
            <w:tcW w:w="3975"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依据《政务信息资源目录编制指南》（发改高技〔2017〕1272号）制定《泸州市政务信息资源目录编制指南》。</w:t>
            </w:r>
          </w:p>
        </w:tc>
        <w:tc>
          <w:tcPr>
            <w:tcW w:w="2970"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市经济和信息化委</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720" w:type="dxa"/>
            <w:vMerge w:val="restart"/>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8</w:t>
            </w:r>
          </w:p>
        </w:tc>
        <w:tc>
          <w:tcPr>
            <w:tcW w:w="1620" w:type="dxa"/>
            <w:vMerge w:val="restart"/>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政务信息系统接入工作</w:t>
            </w:r>
          </w:p>
        </w:tc>
        <w:tc>
          <w:tcPr>
            <w:tcW w:w="1065"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3月底</w:t>
            </w:r>
          </w:p>
        </w:tc>
        <w:tc>
          <w:tcPr>
            <w:tcW w:w="3975"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将自有政务信息系统统一接入市数据资源管理服务平台。</w:t>
            </w:r>
          </w:p>
        </w:tc>
        <w:tc>
          <w:tcPr>
            <w:tcW w:w="2970"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市委群工局、市教育局、市科技知识产权局、市公安局、市民政局、市司法局、市人力资源社会保障局、市住房城乡建设局、市城乡规划管理局、市城管执法局、市交通运输局、市水务局、市农业局、市文体广局、市卫生计生委、市安全监管局、市食品药品监管局、市工商局、市质监局、市扶贫移民局、市国税局、市地税局、市气象局、市应急办、市住房公积金管理中心等部门（单位）</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shd w:val="clear"/>
          <w:tblLayout w:type="fixed"/>
          <w:tblCellMar>
            <w:top w:w="0" w:type="dxa"/>
            <w:left w:w="0" w:type="dxa"/>
            <w:bottom w:w="0" w:type="dxa"/>
            <w:right w:w="0" w:type="dxa"/>
          </w:tblCellMar>
        </w:tblPrEx>
        <w:trPr>
          <w:jc w:val="center"/>
        </w:trPr>
        <w:tc>
          <w:tcPr>
            <w:tcW w:w="720" w:type="dxa"/>
            <w:vMerge w:val="continue"/>
            <w:tcBorders>
              <w:top w:val="single" w:color="000000" w:sz="6" w:space="0"/>
              <w:left w:val="single" w:color="000000" w:sz="6" w:space="0"/>
              <w:bottom w:val="single" w:color="000000" w:sz="6" w:space="0"/>
              <w:right w:val="single" w:color="000000" w:sz="6" w:space="0"/>
            </w:tcBorders>
            <w:shd w:val="clear"/>
            <w:vAlign w:val="center"/>
          </w:tcPr>
          <w:p>
            <w:pPr>
              <w:jc w:val="center"/>
              <w:rPr>
                <w:rFonts w:hint="eastAsia" w:ascii="宋体"/>
                <w:sz w:val="24"/>
                <w:szCs w:val="24"/>
              </w:rPr>
            </w:pPr>
          </w:p>
        </w:tc>
        <w:tc>
          <w:tcPr>
            <w:tcW w:w="1620" w:type="dxa"/>
            <w:vMerge w:val="continue"/>
            <w:tcBorders>
              <w:top w:val="single" w:color="000000" w:sz="6" w:space="0"/>
              <w:left w:val="single" w:color="000000" w:sz="6" w:space="0"/>
              <w:bottom w:val="single" w:color="000000" w:sz="6" w:space="0"/>
              <w:right w:val="single" w:color="000000" w:sz="6" w:space="0"/>
            </w:tcBorders>
            <w:shd w:val="clear"/>
            <w:vAlign w:val="center"/>
          </w:tcPr>
          <w:p>
            <w:pPr>
              <w:jc w:val="center"/>
              <w:rPr>
                <w:rFonts w:hint="eastAsia" w:ascii="宋体"/>
                <w:sz w:val="24"/>
                <w:szCs w:val="24"/>
              </w:rPr>
            </w:pPr>
          </w:p>
        </w:tc>
        <w:tc>
          <w:tcPr>
            <w:tcW w:w="1065"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9月底</w:t>
            </w:r>
          </w:p>
        </w:tc>
        <w:tc>
          <w:tcPr>
            <w:tcW w:w="3975"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1.将整合后的自有政务信息系统全部接入市数据资源管理服务平台，全面实现跨部门信息共享。 </w:t>
            </w:r>
            <w:r>
              <w:rPr>
                <w:rFonts w:ascii="宋体" w:hAnsi="宋体" w:eastAsia="宋体" w:cs="宋体"/>
                <w:kern w:val="0"/>
                <w:sz w:val="24"/>
                <w:szCs w:val="24"/>
                <w:bdr w:val="none" w:color="auto" w:sz="0" w:space="0"/>
                <w:lang w:val="en-US" w:eastAsia="zh-CN" w:bidi="ar"/>
              </w:rPr>
              <w:br w:type="textWrapping"/>
            </w:r>
            <w:r>
              <w:rPr>
                <w:rFonts w:ascii="宋体" w:hAnsi="宋体" w:eastAsia="宋体" w:cs="宋体"/>
                <w:kern w:val="0"/>
                <w:sz w:val="24"/>
                <w:szCs w:val="24"/>
                <w:bdr w:val="none" w:color="auto" w:sz="0" w:space="0"/>
                <w:lang w:val="en-US" w:eastAsia="zh-CN" w:bidi="ar"/>
              </w:rPr>
              <w:t>2.市数据资源中心要提供技术支持，做好接入培训。</w:t>
            </w:r>
          </w:p>
        </w:tc>
        <w:tc>
          <w:tcPr>
            <w:tcW w:w="2970"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市级各部门</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shd w:val="clear"/>
          <w:tblLayout w:type="fixed"/>
          <w:tblCellMar>
            <w:top w:w="0" w:type="dxa"/>
            <w:left w:w="0" w:type="dxa"/>
            <w:bottom w:w="0" w:type="dxa"/>
            <w:right w:w="0" w:type="dxa"/>
          </w:tblCellMar>
        </w:tblPrEx>
        <w:trPr>
          <w:jc w:val="center"/>
        </w:trPr>
        <w:tc>
          <w:tcPr>
            <w:tcW w:w="720" w:type="dxa"/>
            <w:vMerge w:val="restart"/>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9</w:t>
            </w:r>
          </w:p>
        </w:tc>
        <w:tc>
          <w:tcPr>
            <w:tcW w:w="1620" w:type="dxa"/>
            <w:vMerge w:val="restart"/>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加快推进重点领域信息共享</w:t>
            </w:r>
          </w:p>
        </w:tc>
        <w:tc>
          <w:tcPr>
            <w:tcW w:w="1065"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5月底</w:t>
            </w:r>
          </w:p>
        </w:tc>
        <w:tc>
          <w:tcPr>
            <w:tcW w:w="3975"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完成人口信息库、法人信息库、空间地理信息库和统计信息库四大基础库的建设。</w:t>
            </w:r>
          </w:p>
        </w:tc>
        <w:tc>
          <w:tcPr>
            <w:tcW w:w="2970"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市经济和信息化委牵头，市级相关部门配合</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720" w:type="dxa"/>
            <w:vMerge w:val="continue"/>
            <w:tcBorders>
              <w:top w:val="single" w:color="000000" w:sz="6" w:space="0"/>
              <w:left w:val="single" w:color="000000" w:sz="6" w:space="0"/>
              <w:bottom w:val="single" w:color="000000" w:sz="6" w:space="0"/>
              <w:right w:val="single" w:color="000000" w:sz="6" w:space="0"/>
            </w:tcBorders>
            <w:shd w:val="clear"/>
            <w:vAlign w:val="center"/>
          </w:tcPr>
          <w:p>
            <w:pPr>
              <w:jc w:val="center"/>
              <w:rPr>
                <w:rFonts w:hint="eastAsia" w:ascii="宋体"/>
                <w:sz w:val="24"/>
                <w:szCs w:val="24"/>
              </w:rPr>
            </w:pPr>
          </w:p>
        </w:tc>
        <w:tc>
          <w:tcPr>
            <w:tcW w:w="1620" w:type="dxa"/>
            <w:vMerge w:val="continue"/>
            <w:tcBorders>
              <w:top w:val="single" w:color="000000" w:sz="6" w:space="0"/>
              <w:left w:val="single" w:color="000000" w:sz="6" w:space="0"/>
              <w:bottom w:val="single" w:color="000000" w:sz="6" w:space="0"/>
              <w:right w:val="single" w:color="000000" w:sz="6" w:space="0"/>
            </w:tcBorders>
            <w:shd w:val="clear"/>
            <w:vAlign w:val="center"/>
          </w:tcPr>
          <w:p>
            <w:pPr>
              <w:jc w:val="center"/>
              <w:rPr>
                <w:rFonts w:hint="eastAsia" w:ascii="宋体"/>
                <w:sz w:val="24"/>
                <w:szCs w:val="24"/>
              </w:rPr>
            </w:pPr>
          </w:p>
        </w:tc>
        <w:tc>
          <w:tcPr>
            <w:tcW w:w="1065" w:type="dxa"/>
            <w:vMerge w:val="restart"/>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12月底</w:t>
            </w:r>
          </w:p>
        </w:tc>
        <w:tc>
          <w:tcPr>
            <w:tcW w:w="3975"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完成信用信息库、电子证照库两大基础库建设。</w:t>
            </w:r>
          </w:p>
        </w:tc>
        <w:tc>
          <w:tcPr>
            <w:tcW w:w="2970"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市政府办公室、市经济和信息化委、市发展改革委牵头，市级相关部门配合</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720" w:type="dxa"/>
            <w:vMerge w:val="continue"/>
            <w:tcBorders>
              <w:top w:val="single" w:color="000000" w:sz="6" w:space="0"/>
              <w:left w:val="single" w:color="000000" w:sz="6" w:space="0"/>
              <w:bottom w:val="single" w:color="000000" w:sz="6" w:space="0"/>
              <w:right w:val="single" w:color="000000" w:sz="6" w:space="0"/>
            </w:tcBorders>
            <w:shd w:val="clear"/>
            <w:vAlign w:val="center"/>
          </w:tcPr>
          <w:p>
            <w:pPr>
              <w:jc w:val="center"/>
              <w:rPr>
                <w:rFonts w:hint="eastAsia" w:ascii="宋体"/>
                <w:sz w:val="24"/>
                <w:szCs w:val="24"/>
              </w:rPr>
            </w:pPr>
          </w:p>
        </w:tc>
        <w:tc>
          <w:tcPr>
            <w:tcW w:w="1620" w:type="dxa"/>
            <w:vMerge w:val="continue"/>
            <w:tcBorders>
              <w:top w:val="single" w:color="000000" w:sz="6" w:space="0"/>
              <w:left w:val="single" w:color="000000" w:sz="6" w:space="0"/>
              <w:bottom w:val="single" w:color="000000" w:sz="6" w:space="0"/>
              <w:right w:val="single" w:color="000000" w:sz="6" w:space="0"/>
            </w:tcBorders>
            <w:shd w:val="clear"/>
            <w:vAlign w:val="center"/>
          </w:tcPr>
          <w:p>
            <w:pPr>
              <w:jc w:val="center"/>
              <w:rPr>
                <w:rFonts w:hint="eastAsia" w:ascii="宋体"/>
                <w:sz w:val="24"/>
                <w:szCs w:val="24"/>
              </w:rPr>
            </w:pPr>
          </w:p>
        </w:tc>
        <w:tc>
          <w:tcPr>
            <w:tcW w:w="1065" w:type="dxa"/>
            <w:vMerge w:val="continue"/>
            <w:tcBorders>
              <w:top w:val="single" w:color="000000" w:sz="6" w:space="0"/>
              <w:left w:val="single" w:color="000000" w:sz="6" w:space="0"/>
              <w:bottom w:val="single" w:color="000000" w:sz="6" w:space="0"/>
              <w:right w:val="single" w:color="000000" w:sz="6" w:space="0"/>
            </w:tcBorders>
            <w:shd w:val="clear"/>
            <w:vAlign w:val="center"/>
          </w:tcPr>
          <w:p>
            <w:pPr>
              <w:jc w:val="center"/>
              <w:rPr>
                <w:rFonts w:hint="eastAsia" w:ascii="宋体"/>
                <w:sz w:val="24"/>
                <w:szCs w:val="24"/>
              </w:rPr>
            </w:pPr>
          </w:p>
        </w:tc>
        <w:tc>
          <w:tcPr>
            <w:tcW w:w="3975"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1.大力推进城市活动、自贸区建设、公共服务事项、经济运行、健康保障、社会保障、交通、旅游等重点领域主题信息资源库建设。 </w:t>
            </w:r>
            <w:r>
              <w:rPr>
                <w:rFonts w:ascii="宋体" w:hAnsi="宋体" w:eastAsia="宋体" w:cs="宋体"/>
                <w:kern w:val="0"/>
                <w:sz w:val="24"/>
                <w:szCs w:val="24"/>
                <w:bdr w:val="none" w:color="auto" w:sz="0" w:space="0"/>
                <w:lang w:val="en-US" w:eastAsia="zh-CN" w:bidi="ar"/>
              </w:rPr>
              <w:br w:type="textWrapping"/>
            </w:r>
            <w:r>
              <w:rPr>
                <w:rFonts w:ascii="宋体" w:hAnsi="宋体" w:eastAsia="宋体" w:cs="宋体"/>
                <w:kern w:val="0"/>
                <w:sz w:val="24"/>
                <w:szCs w:val="24"/>
                <w:bdr w:val="none" w:color="auto" w:sz="0" w:space="0"/>
                <w:lang w:val="en-US" w:eastAsia="zh-CN" w:bidi="ar"/>
              </w:rPr>
              <w:t>2.接入市数据资源管理服务平台。</w:t>
            </w:r>
          </w:p>
        </w:tc>
        <w:tc>
          <w:tcPr>
            <w:tcW w:w="2970"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市级各部门</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720" w:type="dxa"/>
            <w:vMerge w:val="continue"/>
            <w:tcBorders>
              <w:top w:val="single" w:color="000000" w:sz="6" w:space="0"/>
              <w:left w:val="single" w:color="000000" w:sz="6" w:space="0"/>
              <w:bottom w:val="single" w:color="000000" w:sz="6" w:space="0"/>
              <w:right w:val="single" w:color="000000" w:sz="6" w:space="0"/>
            </w:tcBorders>
            <w:shd w:val="clear"/>
            <w:vAlign w:val="center"/>
          </w:tcPr>
          <w:p>
            <w:pPr>
              <w:jc w:val="center"/>
              <w:rPr>
                <w:rFonts w:hint="eastAsia" w:ascii="宋体"/>
                <w:sz w:val="24"/>
                <w:szCs w:val="24"/>
              </w:rPr>
            </w:pPr>
          </w:p>
        </w:tc>
        <w:tc>
          <w:tcPr>
            <w:tcW w:w="1620" w:type="dxa"/>
            <w:vMerge w:val="continue"/>
            <w:tcBorders>
              <w:top w:val="single" w:color="000000" w:sz="6" w:space="0"/>
              <w:left w:val="single" w:color="000000" w:sz="6" w:space="0"/>
              <w:bottom w:val="single" w:color="000000" w:sz="6" w:space="0"/>
              <w:right w:val="single" w:color="000000" w:sz="6" w:space="0"/>
            </w:tcBorders>
            <w:shd w:val="clear"/>
            <w:vAlign w:val="center"/>
          </w:tcPr>
          <w:p>
            <w:pPr>
              <w:jc w:val="center"/>
              <w:rPr>
                <w:rFonts w:hint="eastAsia" w:ascii="宋体"/>
                <w:sz w:val="24"/>
                <w:szCs w:val="24"/>
              </w:rPr>
            </w:pPr>
          </w:p>
        </w:tc>
        <w:tc>
          <w:tcPr>
            <w:tcW w:w="1065" w:type="dxa"/>
            <w:vMerge w:val="continue"/>
            <w:tcBorders>
              <w:top w:val="single" w:color="000000" w:sz="6" w:space="0"/>
              <w:left w:val="single" w:color="000000" w:sz="6" w:space="0"/>
              <w:bottom w:val="single" w:color="000000" w:sz="6" w:space="0"/>
              <w:right w:val="single" w:color="000000" w:sz="6" w:space="0"/>
            </w:tcBorders>
            <w:shd w:val="clear"/>
            <w:vAlign w:val="center"/>
          </w:tcPr>
          <w:p>
            <w:pPr>
              <w:jc w:val="center"/>
              <w:rPr>
                <w:rFonts w:hint="eastAsia" w:ascii="宋体"/>
                <w:sz w:val="24"/>
                <w:szCs w:val="24"/>
              </w:rPr>
            </w:pPr>
          </w:p>
        </w:tc>
        <w:tc>
          <w:tcPr>
            <w:tcW w:w="3975"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完成政府信息资源开放平台的建设，实现数据基于共享网站和开放网站的服务。</w:t>
            </w:r>
          </w:p>
        </w:tc>
        <w:tc>
          <w:tcPr>
            <w:tcW w:w="2970"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市经济和信息化委牵头，市级相关部门配合</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720" w:type="dxa"/>
            <w:vMerge w:val="restart"/>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10</w:t>
            </w:r>
          </w:p>
        </w:tc>
        <w:tc>
          <w:tcPr>
            <w:tcW w:w="1620" w:type="dxa"/>
            <w:vMerge w:val="restart"/>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打造整合共享样板应用</w:t>
            </w:r>
          </w:p>
        </w:tc>
        <w:tc>
          <w:tcPr>
            <w:tcW w:w="1065"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5月底</w:t>
            </w:r>
          </w:p>
        </w:tc>
        <w:tc>
          <w:tcPr>
            <w:tcW w:w="3975"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将1个以上整合共享样板应用的选题和工作方案报市政府办公室和市经济和信息化委。</w:t>
            </w:r>
          </w:p>
        </w:tc>
        <w:tc>
          <w:tcPr>
            <w:tcW w:w="2970"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各县（区）、各园区、市级各部门</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720" w:type="dxa"/>
            <w:vMerge w:val="continue"/>
            <w:tcBorders>
              <w:top w:val="single" w:color="000000" w:sz="6" w:space="0"/>
              <w:left w:val="single" w:color="000000" w:sz="6" w:space="0"/>
              <w:bottom w:val="single" w:color="000000" w:sz="6" w:space="0"/>
              <w:right w:val="single" w:color="000000" w:sz="6" w:space="0"/>
            </w:tcBorders>
            <w:shd w:val="clear"/>
            <w:vAlign w:val="center"/>
          </w:tcPr>
          <w:p>
            <w:pPr>
              <w:jc w:val="center"/>
              <w:rPr>
                <w:rFonts w:hint="eastAsia" w:ascii="宋体"/>
                <w:sz w:val="24"/>
                <w:szCs w:val="24"/>
              </w:rPr>
            </w:pPr>
          </w:p>
        </w:tc>
        <w:tc>
          <w:tcPr>
            <w:tcW w:w="1620" w:type="dxa"/>
            <w:vMerge w:val="continue"/>
            <w:tcBorders>
              <w:top w:val="single" w:color="000000" w:sz="6" w:space="0"/>
              <w:left w:val="single" w:color="000000" w:sz="6" w:space="0"/>
              <w:bottom w:val="single" w:color="000000" w:sz="6" w:space="0"/>
              <w:right w:val="single" w:color="000000" w:sz="6" w:space="0"/>
            </w:tcBorders>
            <w:shd w:val="clear"/>
            <w:vAlign w:val="center"/>
          </w:tcPr>
          <w:p>
            <w:pPr>
              <w:jc w:val="center"/>
              <w:rPr>
                <w:rFonts w:hint="eastAsia" w:ascii="宋体"/>
                <w:sz w:val="24"/>
                <w:szCs w:val="24"/>
              </w:rPr>
            </w:pPr>
          </w:p>
        </w:tc>
        <w:tc>
          <w:tcPr>
            <w:tcW w:w="1065"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12月底</w:t>
            </w:r>
          </w:p>
        </w:tc>
        <w:tc>
          <w:tcPr>
            <w:tcW w:w="3975"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1.完成样板应用建设并投入使用。 </w:t>
            </w:r>
            <w:r>
              <w:rPr>
                <w:rFonts w:ascii="宋体" w:hAnsi="宋体" w:eastAsia="宋体" w:cs="宋体"/>
                <w:kern w:val="0"/>
                <w:sz w:val="24"/>
                <w:szCs w:val="24"/>
                <w:bdr w:val="none" w:color="auto" w:sz="0" w:space="0"/>
                <w:lang w:val="en-US" w:eastAsia="zh-CN" w:bidi="ar"/>
              </w:rPr>
              <w:br w:type="textWrapping"/>
            </w:r>
            <w:r>
              <w:rPr>
                <w:rFonts w:ascii="宋体" w:hAnsi="宋体" w:eastAsia="宋体" w:cs="宋体"/>
                <w:kern w:val="0"/>
                <w:sz w:val="24"/>
                <w:szCs w:val="24"/>
                <w:bdr w:val="none" w:color="auto" w:sz="0" w:space="0"/>
                <w:lang w:val="en-US" w:eastAsia="zh-CN" w:bidi="ar"/>
              </w:rPr>
              <w:t>2.工作进展及成效及时报市政府办公室和市经济和信息化委。</w:t>
            </w:r>
          </w:p>
        </w:tc>
        <w:tc>
          <w:tcPr>
            <w:tcW w:w="2970"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各县（区）、各园区、市级各部门</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720"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11</w:t>
            </w:r>
          </w:p>
        </w:tc>
        <w:tc>
          <w:tcPr>
            <w:tcW w:w="1620"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深化“互联网+政务服务”</w:t>
            </w:r>
          </w:p>
        </w:tc>
        <w:tc>
          <w:tcPr>
            <w:tcW w:w="1065"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12月底</w:t>
            </w:r>
          </w:p>
        </w:tc>
        <w:tc>
          <w:tcPr>
            <w:tcW w:w="3975"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进一步加强一体化政务服务平台应用，大力推动政务服务事项网上办理，达到国家提出的目标要求，最大程度利企便民。</w:t>
            </w:r>
          </w:p>
        </w:tc>
        <w:tc>
          <w:tcPr>
            <w:tcW w:w="2970"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各县（区）、各园区、市级各部门</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720"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12</w:t>
            </w:r>
          </w:p>
        </w:tc>
        <w:tc>
          <w:tcPr>
            <w:tcW w:w="1620"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积极开展政务大数据应用建设</w:t>
            </w:r>
          </w:p>
        </w:tc>
        <w:tc>
          <w:tcPr>
            <w:tcW w:w="1065"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9月底</w:t>
            </w:r>
          </w:p>
        </w:tc>
        <w:tc>
          <w:tcPr>
            <w:tcW w:w="3975"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充分运用汇聚到的数据资源，结合自身领域，叠加特色服务，积极推动政务大数据专题应用。</w:t>
            </w:r>
          </w:p>
        </w:tc>
        <w:tc>
          <w:tcPr>
            <w:tcW w:w="2970"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各县（区）、各园区、市级各部门</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shd w:val="clear"/>
          <w:tblLayout w:type="fixed"/>
          <w:tblCellMar>
            <w:top w:w="0" w:type="dxa"/>
            <w:left w:w="0" w:type="dxa"/>
            <w:bottom w:w="0" w:type="dxa"/>
            <w:right w:w="0" w:type="dxa"/>
          </w:tblCellMar>
        </w:tblPrEx>
        <w:trPr>
          <w:jc w:val="center"/>
        </w:trPr>
        <w:tc>
          <w:tcPr>
            <w:tcW w:w="720"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13</w:t>
            </w:r>
          </w:p>
        </w:tc>
        <w:tc>
          <w:tcPr>
            <w:tcW w:w="1620"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完善统一备案机制</w:t>
            </w:r>
          </w:p>
        </w:tc>
        <w:tc>
          <w:tcPr>
            <w:tcW w:w="1065"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6月底</w:t>
            </w:r>
          </w:p>
        </w:tc>
        <w:tc>
          <w:tcPr>
            <w:tcW w:w="3975"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进一步完善政务信息系统项目投资审批、运行维护经费审批及效能审计方面的跨部门联动管理办法，促进政务信息资源整合利用。</w:t>
            </w:r>
          </w:p>
        </w:tc>
        <w:tc>
          <w:tcPr>
            <w:tcW w:w="2970"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市政府办公室、市经济和信息化委牵头，市发展改革委、市财政局、市审计局配合</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720"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14</w:t>
            </w:r>
          </w:p>
        </w:tc>
        <w:tc>
          <w:tcPr>
            <w:tcW w:w="1620"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持续开展政务信息系统专项审计调查</w:t>
            </w:r>
          </w:p>
        </w:tc>
        <w:tc>
          <w:tcPr>
            <w:tcW w:w="1065"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10月底</w:t>
            </w:r>
          </w:p>
        </w:tc>
        <w:tc>
          <w:tcPr>
            <w:tcW w:w="3975"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分批组织开展专项审计，全面摸清市级政务信息系统最新底数及整合共享绩效。</w:t>
            </w:r>
          </w:p>
        </w:tc>
        <w:tc>
          <w:tcPr>
            <w:tcW w:w="2970"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市审计局牵头，市级各部门配合</w:t>
            </w:r>
          </w:p>
        </w:tc>
      </w:tr>
    </w:tbl>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A0000287" w:usb1="28C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2CE97586"/>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2">
    <w:name w:val="Default Paragraph Font"/>
    <w:semiHidden/>
    <w:uiPriority w:val="0"/>
  </w:style>
  <w:style w:type="table" w:default="1" w:styleId="3">
    <w:name w:val="Normal Table"/>
    <w:semiHidden/>
    <w:qFormat/>
    <w:uiPriority w:val="0"/>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Office_10.1.0.7224_F1E327BC-269C-435d-A152-05C5408002CA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lenovo</dc:creator>
  <cp:lastModifiedBy>甚好</cp:lastModifiedBy>
  <dcterms:modified xsi:type="dcterms:W3CDTF">2018-03-29T02:25:18Z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2052-10.1.0.7224</vt:lpwstr>
  </property>
</Properties>
</file>