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2" w:beforeAutospacing="0" w:after="72" w:afterAutospacing="0" w:line="596" w:lineRule="atLeast"/>
        <w:ind w:left="0" w:right="0" w:firstLine="0"/>
        <w:jc w:val="center"/>
        <w:textAlignment w:val="top"/>
        <w:rPr>
          <w:rFonts w:hint="eastAsia" w:ascii="宋体" w:hAnsi="宋体" w:eastAsia="宋体" w:cs="宋体"/>
          <w:b w:val="0"/>
          <w:i w:val="0"/>
          <w:caps w:val="0"/>
          <w:color w:val="333333"/>
          <w:spacing w:val="0"/>
          <w:sz w:val="24"/>
          <w:szCs w:val="24"/>
        </w:rPr>
      </w:pPr>
      <w:bookmarkStart w:id="0" w:name="_GoBack"/>
      <w:r>
        <w:rPr>
          <w:rStyle w:val="4"/>
          <w:rFonts w:hint="eastAsia" w:ascii="宋体" w:hAnsi="宋体" w:eastAsia="宋体" w:cs="宋体"/>
          <w:i w:val="0"/>
          <w:caps w:val="0"/>
          <w:color w:val="333333"/>
          <w:spacing w:val="0"/>
          <w:kern w:val="0"/>
          <w:sz w:val="28"/>
          <w:szCs w:val="28"/>
          <w:bdr w:val="none" w:color="auto" w:sz="0" w:space="0"/>
          <w:shd w:val="clear" w:fill="FFFFFF"/>
          <w:lang w:val="en-US" w:eastAsia="zh-CN" w:bidi="ar"/>
        </w:rPr>
        <w:t>福建省开展“证照分离”改革行政许可事项目录</w:t>
      </w:r>
    </w:p>
    <w:bookmarkEnd w:id="0"/>
    <w:tbl>
      <w:tblPr>
        <w:tblW w:w="13930" w:type="dxa"/>
        <w:jc w:val="center"/>
        <w:tblInd w:w="42"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574"/>
        <w:gridCol w:w="3304"/>
        <w:gridCol w:w="1149"/>
        <w:gridCol w:w="1005"/>
        <w:gridCol w:w="1292"/>
        <w:gridCol w:w="1580"/>
        <w:gridCol w:w="1292"/>
        <w:gridCol w:w="2442"/>
        <w:gridCol w:w="129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tblHeader/>
          <w:jc w:val="center"/>
        </w:trPr>
        <w:tc>
          <w:tcPr>
            <w:tcW w:w="574" w:type="dxa"/>
            <w:vMerge w:val="restart"/>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18"/>
                <w:szCs w:val="18"/>
                <w:bdr w:val="none" w:color="auto" w:sz="0" w:space="0"/>
                <w:lang w:val="en-US" w:eastAsia="zh-CN" w:bidi="ar"/>
              </w:rPr>
              <w:t>项数</w:t>
            </w:r>
          </w:p>
        </w:tc>
        <w:tc>
          <w:tcPr>
            <w:tcW w:w="3304"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18"/>
                <w:szCs w:val="18"/>
                <w:bdr w:val="none" w:color="auto" w:sz="0" w:space="0"/>
                <w:lang w:val="en-US" w:eastAsia="zh-CN" w:bidi="ar"/>
              </w:rPr>
              <w:t>事项名称</w:t>
            </w:r>
          </w:p>
        </w:tc>
        <w:tc>
          <w:tcPr>
            <w:tcW w:w="6318" w:type="dxa"/>
            <w:gridSpan w:val="5"/>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18"/>
                <w:szCs w:val="18"/>
                <w:bdr w:val="none" w:color="auto" w:sz="0" w:space="0"/>
                <w:lang w:val="en-US" w:eastAsia="zh-CN" w:bidi="ar"/>
              </w:rPr>
              <w:t>拟采取的改革方式</w:t>
            </w:r>
          </w:p>
        </w:tc>
        <w:tc>
          <w:tcPr>
            <w:tcW w:w="2442"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18"/>
                <w:szCs w:val="18"/>
                <w:bdr w:val="none" w:color="auto" w:sz="0" w:space="0"/>
                <w:lang w:val="en-US" w:eastAsia="zh-CN" w:bidi="ar"/>
              </w:rPr>
              <w:t>责任单位</w:t>
            </w:r>
          </w:p>
        </w:tc>
        <w:tc>
          <w:tcPr>
            <w:tcW w:w="1292" w:type="dxa"/>
            <w:vMerge w:val="restart"/>
            <w:tcBorders>
              <w:top w:val="single" w:color="auto" w:sz="8" w:space="0"/>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18"/>
                <w:szCs w:val="18"/>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tblHeader/>
          <w:jc w:val="center"/>
        </w:trPr>
        <w:tc>
          <w:tcPr>
            <w:tcW w:w="574" w:type="dxa"/>
            <w:vMerge w:val="continue"/>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3304"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2154" w:type="dxa"/>
            <w:gridSpan w:val="2"/>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18"/>
                <w:szCs w:val="18"/>
                <w:bdr w:val="none" w:color="auto" w:sz="0" w:space="0"/>
                <w:lang w:val="en-US" w:eastAsia="zh-CN" w:bidi="ar"/>
              </w:rPr>
              <w:t>取消审批</w:t>
            </w:r>
          </w:p>
        </w:tc>
        <w:tc>
          <w:tcPr>
            <w:tcW w:w="4164" w:type="dxa"/>
            <w:gridSpan w:val="3"/>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18"/>
                <w:szCs w:val="18"/>
                <w:bdr w:val="none" w:color="auto" w:sz="0" w:space="0"/>
                <w:lang w:val="en-US" w:eastAsia="zh-CN" w:bidi="ar"/>
              </w:rPr>
              <w:t>保留审批</w:t>
            </w:r>
          </w:p>
        </w:tc>
        <w:tc>
          <w:tcPr>
            <w:tcW w:w="2442"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292"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tblHeader/>
          <w:jc w:val="center"/>
        </w:trPr>
        <w:tc>
          <w:tcPr>
            <w:tcW w:w="574" w:type="dxa"/>
            <w:vMerge w:val="continue"/>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3304"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18"/>
                <w:szCs w:val="18"/>
                <w:bdr w:val="none" w:color="auto" w:sz="0" w:space="0"/>
                <w:lang w:val="en-US" w:eastAsia="zh-CN" w:bidi="ar"/>
              </w:rPr>
              <w:t>完全取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18"/>
                <w:szCs w:val="18"/>
                <w:bdr w:val="none" w:color="auto" w:sz="0" w:space="0"/>
                <w:lang w:val="en-US" w:eastAsia="zh-CN" w:bidi="ar"/>
              </w:rPr>
              <w:t>消审批</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18"/>
                <w:szCs w:val="18"/>
                <w:bdr w:val="none" w:color="auto" w:sz="0" w:space="0"/>
                <w:lang w:val="en-US" w:eastAsia="zh-CN" w:bidi="ar"/>
              </w:rPr>
              <w:t>审批改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18"/>
                <w:szCs w:val="18"/>
                <w:bdr w:val="none" w:color="auto" w:sz="0" w:space="0"/>
                <w:lang w:val="en-US" w:eastAsia="zh-CN" w:bidi="ar"/>
              </w:rPr>
              <w:t>为备案</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18"/>
                <w:szCs w:val="18"/>
                <w:bdr w:val="none" w:color="auto" w:sz="0" w:space="0"/>
                <w:lang w:val="en-US" w:eastAsia="zh-CN" w:bidi="ar"/>
              </w:rPr>
              <w:t>实行告知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18"/>
                <w:szCs w:val="18"/>
                <w:bdr w:val="none" w:color="auto" w:sz="0" w:space="0"/>
                <w:lang w:val="en-US" w:eastAsia="zh-CN" w:bidi="ar"/>
              </w:rPr>
              <w:t>承诺制</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18"/>
                <w:szCs w:val="18"/>
                <w:bdr w:val="none" w:color="auto" w:sz="0" w:space="0"/>
                <w:lang w:val="en-US" w:eastAsia="zh-CN" w:bidi="ar"/>
              </w:rPr>
              <w:t>提高透明度和可预期性</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18"/>
                <w:szCs w:val="18"/>
                <w:bdr w:val="none" w:color="auto" w:sz="0" w:space="0"/>
                <w:lang w:val="en-US" w:eastAsia="zh-CN" w:bidi="ar"/>
              </w:rPr>
              <w:t>严格市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b/>
                <w:kern w:val="0"/>
                <w:sz w:val="18"/>
                <w:szCs w:val="18"/>
                <w:bdr w:val="none" w:color="auto" w:sz="0" w:space="0"/>
                <w:lang w:val="en-US" w:eastAsia="zh-CN" w:bidi="ar"/>
              </w:rPr>
              <w:t>场准入</w:t>
            </w:r>
          </w:p>
        </w:tc>
        <w:tc>
          <w:tcPr>
            <w:tcW w:w="2442"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292" w:type="dxa"/>
            <w:vMerge w:val="continue"/>
            <w:tcBorders>
              <w:top w:val="single" w:color="auto" w:sz="8" w:space="0"/>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合计</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98项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6</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2</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20</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37</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33</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1</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出版物出租经营备案</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市新闻出版部门（含平潭）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2</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微生物菌剂环境安全许可证核发</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省环保厅</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3</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药品广告异地备案</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省食品药品监管局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4</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医疗机构放射性药品使用许可(一、二类)</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省食品药品监管局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5</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因私出入境中介服务机构资格认定（境外就业、留学除外）</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省公安厅</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上海市“证照分离”名称：因私出入境中介机构资格认定(境外就业、留学除外)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6</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公共汽车和电车客运车辆营运证核发(区县许可事项) </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市道路运输管理部门（含平潭）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7</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首次进口非特殊用途化妆品行政许可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食品药品监管总局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0" w:hRule="atLeast"/>
          <w:jc w:val="center"/>
        </w:trPr>
        <w:tc>
          <w:tcPr>
            <w:tcW w:w="574" w:type="dxa"/>
            <w:vMerge w:val="restart"/>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8</w:t>
            </w:r>
          </w:p>
        </w:tc>
        <w:tc>
          <w:tcPr>
            <w:tcW w:w="3304"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50平方米以下小型餐饮的经营许可</w:t>
            </w:r>
          </w:p>
        </w:tc>
        <w:tc>
          <w:tcPr>
            <w:tcW w:w="1149"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市食品药品监管部门（或市场监管部门，含平潭）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3304"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149"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005"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2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580"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2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福建检验检疫局</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厦门检验检疫局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9</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设立外商投资电影院许可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省新闻出版广电局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10</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从事出版物零售业务许可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市新闻出版部门（含平潭）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11</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设立从事包装装潢印刷品和其他印刷品印刷经营活动的企业审批(不含商标、票据、保密印刷)</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省新闻出版广电局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12</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印刷业经营者兼营包装装潢和其他印刷品印刷经营活动审批(不含商标、票据、保密印刷)</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省新闻出版广电局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13</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音像制作单位设立审批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省新闻出版广电局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14</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音像制作单位变更名称、业务范围,或者兼并、合并、分立审批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省新闻出版广电局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上海市“证照分离”名称：音像制作单位、电子出版物制作单位变更名称、业务范围，或者兼并、合并、分立审批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15</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互联网药品信息服务企业审批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省食品药品监管局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16</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医疗器械广告审查</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省食品药品监管局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17</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从事城市生活垃圾经营性清扫、收集、运输、处理服务审批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省住建厅</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18</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保安培训机构设立许可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省公安厅</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上海市“证照分离”名称：保安培训许可证核发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19</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公章刻制业特种行业许可证核发</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县级公安部门（含平潭）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20</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典当业特种行业许可证核发</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县级公安部门（含平潭）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21</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旅馆业特种行业许可证核发</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县级公安部门（含平潭）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22</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道路运输站（场）经营许可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县级道路运输管理部门（含平潭）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23</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机动车维修经营许可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县级道路运输管理部门（含平潭）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24</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房地产开发企业资质核定（除由住建部审批的一级资质外）</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省住建厅</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市住建部门（含平潭）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上海市“证照分离”名称：房地产开发企业资质核定</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25</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建筑企业资质申请、升级、增项、变更许可（除特级、施工总承包一级等由住建部审批的资质外）</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省住建厅</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市住建部门（含平潭）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上海市“证照分离”名称：建筑企业资质申请、升级、增项、变更许可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26</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公共场所卫生许可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市卫计部门</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27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经营性中外合作职业技能培训机构（公司，筹建）</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省人社厅</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市人社部门</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上海市“证照分离”名称：中外合作职业技能培训机构设立审批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28</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假肢和矫形器（辅助器具）生产装配企业资格认定</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省民政厅</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29</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水路运输业务经营许可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市水路运输管理部门（含平潭）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上海市“证照分离”名称：国内水路运输业务经营许可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30</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港口经营许可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沿海各港口管理部门</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31</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经营港口理货业务许可 </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市水路运输管理部门（含平潭）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32</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机动车驾驶员培训业务许可证核发</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县级道路运输管理部门（含平潭）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33</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道路货运经营许可证核发</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县级道路运输管理部门（含平潭）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34</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道路旅客运输经营许可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市、县道路运输管理（含平潭）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35</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道路普通货运经营许可(货运出租、搬场运输)</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省交通运输厅</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36</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中外合资经营、中外合作经营演出经纪机构设立审批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文化部、省文化厅</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37</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港、澳投资者在内地投资设立合资、合作、独资经营的演出经纪机构审批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省文化厅</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38</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台湾地区投资者在内地投资设立合资、合作经营的演出经纪机构审批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省文化厅</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39</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港、澳服务提供者在内地设立互联网上网服务营业场所审批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省文化厅</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40</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拍卖企业经营文物拍卖许可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省文化厅</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41</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歌舞娱乐场所设立审批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县级文化部门（含平潭）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42</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游艺娱乐场所设立审批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县级文化部门（含平潭）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43</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口岸卫生许可证核发</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福建检验检疫局</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厦门检验检疫局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44</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进出口商品检验鉴定业务的检验许可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质检总局</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福建检验检疫局</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厦门检验检疫局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45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外商投资旅行社业务经营许可、变更、注销</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省旅发委</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上海市“证照分离”名称：外商投资旅行社业务经营许可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46</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旅行社业务经营许可、变更、注销</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省旅发委</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市旅游主管部门</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上海市“证照分离”名称：旅行社业务经营许可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47</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会计师事务所及其分支机构设立审批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省财政厅</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48</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中介机构从事会计代理记账业务审批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省财政厅</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市财政部门（含平潭）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49</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设立饲料添加剂、添加剂预混合饲料生产企业审批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省农业厅</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50</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营利性医疗机构设置审批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省卫计委</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市、县(区)卫计部门（含平潭）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51</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消毒产品生产企业卫生许可(一次性使用医疗用品的生产企业除外)</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省卫计委</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市卫计部门（含平潭）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52</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从事测绘活动单位资质许可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国家测绘地信局</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省测绘地信局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53</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燃气经营许可证核发</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省住建厅</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市住建部门（含平潭）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54</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经营高危险性体育项目许可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市体育主管部门（含平潭）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55</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拍卖业务许可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市商务主管部门（含平潭）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56</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粮食收购资格认定</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市粮食主管部门（含平潭）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57</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养老机构设立许可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省民政厅</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市民政部门（含平潭）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58</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保安服务公司设立许可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省公安厅</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上海市“证照分离”名称：保安服务许可证核发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59</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从事出版物批发业务许可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省新闻出版广电局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60</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设立中外合资、合作印刷企业和外商独资包装装潢印刷企业审批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省新闻出版广电局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61</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融资性担保机构设立、变更审批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省金融办、设区市地方金融主管部门</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62</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保险公司变更名称、变更注册资本、变更公司或者分支机构的营业场所、撤销分支机构、公司分立或者合并、修改公司章程、变更出资额占有限责任公司资本总额百分之五以上的股东，或者变更持有股份有限公司股份百分之五以上的股东及保险公司终止(解散、破产)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保监会</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福建保监局</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厦门保监局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vMerge w:val="restart"/>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63</w:t>
            </w:r>
          </w:p>
        </w:tc>
        <w:tc>
          <w:tcPr>
            <w:tcW w:w="3304"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石油成品油批发经营资格审批（初审）</w:t>
            </w:r>
          </w:p>
        </w:tc>
        <w:tc>
          <w:tcPr>
            <w:tcW w:w="1149"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省安监局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3304"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149"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005"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2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580"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2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省商务厅</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厦门市经信委</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811" w:hRule="atLeast"/>
          <w:jc w:val="center"/>
        </w:trPr>
        <w:tc>
          <w:tcPr>
            <w:tcW w:w="574" w:type="dxa"/>
            <w:vMerge w:val="restart"/>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64</w:t>
            </w:r>
          </w:p>
        </w:tc>
        <w:tc>
          <w:tcPr>
            <w:tcW w:w="3304"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石油、成品油零售经营资格审批（除加油船审批外）</w:t>
            </w:r>
          </w:p>
        </w:tc>
        <w:tc>
          <w:tcPr>
            <w:tcW w:w="1149"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省安监局</w:t>
            </w:r>
          </w:p>
        </w:tc>
        <w:tc>
          <w:tcPr>
            <w:tcW w:w="1292"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上海市“证照分离”名称：石油成品油零售经营资格审批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2" w:hRule="atLeast"/>
          <w:jc w:val="center"/>
        </w:trPr>
        <w:tc>
          <w:tcPr>
            <w:tcW w:w="574"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3304"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149"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005"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2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580"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2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市、县商务部门（含平潭）</w:t>
            </w:r>
          </w:p>
        </w:tc>
        <w:tc>
          <w:tcPr>
            <w:tcW w:w="12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65</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食盐定点生产、碘盐加工企业许可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省经信委</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66</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电影发行经营许可证核发（含3个子项：1.从事电影发行业务审批；2.电影发行单位变更业务范围审批；3.电影发行企业兼并其他电影发行单位，或者因合并、分立而设立新的电影发行单位审批）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新闻出版广电总局</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省新闻出版广电局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上海市“证照分离”名称：电影发行单位设立、变更业务范围或者兼并、合并、分立审批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67</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设立经营性互联网文化单位审批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省文化厅</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68</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设立广播电视视频点播业务(乙种)许可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省新闻出版广电局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69</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化妆品生产企业生产许可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省食品药品监管局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上海市“证照分离”名称：化妆品生产企业卫生许可</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vMerge w:val="restart"/>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70</w:t>
            </w:r>
          </w:p>
        </w:tc>
        <w:tc>
          <w:tcPr>
            <w:tcW w:w="3304"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食品生产许可(保健食品、特殊医学用途配方食品、婴幼儿配方食品除外) </w:t>
            </w:r>
          </w:p>
        </w:tc>
        <w:tc>
          <w:tcPr>
            <w:tcW w:w="1149"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福建检验检疫局</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厦门检验检疫局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3304"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149"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005"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2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580"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2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省食品药品监管局</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市、县（区）食品药品监管部门（或市场监管部门，含平潭）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vMerge w:val="restart"/>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71</w:t>
            </w:r>
          </w:p>
        </w:tc>
        <w:tc>
          <w:tcPr>
            <w:tcW w:w="3304"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食品销售许可、餐饮服务许可(合并为食品经营许可)</w:t>
            </w:r>
          </w:p>
        </w:tc>
        <w:tc>
          <w:tcPr>
            <w:tcW w:w="1149"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vMerge w:val="restart"/>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市、县（区）食品药品监管部门（或市场监管部门，含平潭）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3304"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149"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005"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2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580"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1292" w:type="dxa"/>
            <w:vMerge w:val="continue"/>
            <w:tcBorders>
              <w:top w:val="nil"/>
              <w:left w:val="nil"/>
              <w:bottom w:val="single" w:color="auto" w:sz="8" w:space="0"/>
              <w:right w:val="single" w:color="auto" w:sz="8" w:space="0"/>
            </w:tcBorders>
            <w:shd w:val="clear"/>
            <w:tcMar>
              <w:left w:w="28" w:type="dxa"/>
              <w:right w:w="28" w:type="dxa"/>
            </w:tcMar>
            <w:vAlign w:val="center"/>
          </w:tcPr>
          <w:p>
            <w:pPr>
              <w:rPr>
                <w:rFonts w:hint="eastAsia" w:ascii="宋体" w:hAnsi="宋体" w:eastAsia="宋体" w:cs="宋体"/>
                <w:sz w:val="24"/>
                <w:szCs w:val="24"/>
              </w:rPr>
            </w:pP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福建检验检疫局</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厦门检验检疫局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72</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开办药品生产企业审批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省食品药品监管局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73</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开办药品经营企业审批(批发、零售连锁企业) </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省食品药品监管局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74</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第二类医疗器械产品注册</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省食品药品监管局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75</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第二类、第三类医疗器械生产许可证核发</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省食品药品监管局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76</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开办药品零售企业审批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市、县（区）食品药品监管部门（或市场监管部门，含平潭）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77</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第三类医疗器械经营许可(第三方物流除外) </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设区市食品药品监管部门（或市场监管部门，含平潭）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78</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第三类医疗器械经营许可(第三方物流) </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设区市食品药品监管部门（或市场监管部门，含平潭）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79</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食品生产许可(保健食品、特殊医学用途配方食品、婴幼儿配方食品)</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省、市食品药品监管部门（或市场监管部门，含平潭）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80</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医疗机构放射性药品使用许可(三、四类) </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省食品药品监管局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81</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新药生产和上市许可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食品药品监管总局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82</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特种设备生产单位许可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质检总局</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省质监局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83</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特种设备检验检测机构核准</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质检总局</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省质监局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84</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农作物种子、食用菌菌种生产经营许可证核发</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农业部</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省农业厅</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市农业主管部门（含平潭）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上海市“证照分离”名称：农作物种子、草种、食用菌菌种生产经营许可证核发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85</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爆破作业单位许可证核发</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市公安机关（含平潭）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86</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营业性射击场开设弩射项目审批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省公安厅</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上海市“证照分离”名称：制造、销售弩或营业性射击场开设弩射项目审批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87</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设立典当行及其分支机构审核</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省经信委</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88</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直销企业及其分支机构设立和变更审批（含审核转报）</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商务部</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省、市商务部门（含平潭）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上海市“证照分离”名称：直销企业及其分支机构的设立和变更审批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89</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烟花爆竹批发许可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市级安全监管部门（含平潭）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90</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烟花爆竹零售许可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县级安全监管部门（含平潭）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91</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危险化学品经营许可证核发</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市、县（区）安全监管部门（含平潭）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92</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危险化学品生产企业安全生产许可证核发</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安全监管总局</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省安监局</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93</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危险化学品安全使用许可证核发</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市级安全监管部门（含平潭）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94</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新建、改建、扩建生产、储存危险化学品(包括使用长输管道输送危险化学品)建设项目安全条件审查</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市、县（区）安全监管部门（含平潭）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95</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道路危险货物运输经营许可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市道路运输管理部门（含平潭）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96</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户外广告设施设置审批</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省住建厅</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市住建部门（含平潭）</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97</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民用爆炸物品销售企业设立许可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省经信委</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0" w:hRule="atLeast"/>
          <w:jc w:val="center"/>
        </w:trPr>
        <w:tc>
          <w:tcPr>
            <w:tcW w:w="574" w:type="dxa"/>
            <w:tcBorders>
              <w:top w:val="nil"/>
              <w:left w:val="single" w:color="auto" w:sz="8" w:space="0"/>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98</w:t>
            </w:r>
          </w:p>
        </w:tc>
        <w:tc>
          <w:tcPr>
            <w:tcW w:w="3304"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民用爆炸物品生产许可</w:t>
            </w:r>
          </w:p>
        </w:tc>
        <w:tc>
          <w:tcPr>
            <w:tcW w:w="1149"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005"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580"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w:t>
            </w:r>
          </w:p>
        </w:tc>
        <w:tc>
          <w:tcPr>
            <w:tcW w:w="244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省经信委</w:t>
            </w:r>
          </w:p>
        </w:tc>
        <w:tc>
          <w:tcPr>
            <w:tcW w:w="1292" w:type="dxa"/>
            <w:tcBorders>
              <w:top w:val="nil"/>
              <w:left w:val="nil"/>
              <w:bottom w:val="single" w:color="auto" w:sz="8" w:space="0"/>
              <w:right w:val="single" w:color="auto" w:sz="8" w:space="0"/>
            </w:tcBorders>
            <w:shd w:val="clear"/>
            <w:tcMar>
              <w:left w:w="28" w:type="dxa"/>
              <w:right w:w="2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宋体" w:hAnsi="宋体" w:eastAsia="宋体" w:cs="宋体"/>
                <w:sz w:val="24"/>
                <w:szCs w:val="24"/>
              </w:rPr>
            </w:pPr>
            <w:r>
              <w:rPr>
                <w:rFonts w:hint="eastAsia" w:ascii="宋体" w:hAnsi="宋体" w:eastAsia="宋体" w:cs="宋体"/>
                <w:kern w:val="0"/>
                <w:sz w:val="18"/>
                <w:szCs w:val="1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6" w:lineRule="atLeast"/>
        <w:ind w:left="0" w:right="0" w:firstLine="620"/>
        <w:jc w:val="left"/>
        <w:textAlignment w:val="top"/>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EE06FE"/>
    <w:rsid w:val="0F2C2152"/>
    <w:rsid w:val="125C1881"/>
    <w:rsid w:val="17D54171"/>
    <w:rsid w:val="17EB127C"/>
    <w:rsid w:val="18796507"/>
    <w:rsid w:val="22BA2453"/>
    <w:rsid w:val="239E7352"/>
    <w:rsid w:val="2F343C0D"/>
    <w:rsid w:val="378F0C60"/>
    <w:rsid w:val="403B53A8"/>
    <w:rsid w:val="44E16E9B"/>
    <w:rsid w:val="48DE1486"/>
    <w:rsid w:val="4F910273"/>
    <w:rsid w:val="5E761FF1"/>
    <w:rsid w:val="6D80217C"/>
    <w:rsid w:val="7E527E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qFormat/>
    <w:uiPriority w:val="0"/>
    <w:rPr>
      <w:rFonts w:hint="eastAsia" w:ascii="宋体" w:hAnsi="宋体" w:eastAsia="宋体" w:cs="宋体"/>
      <w:color w:val="3D3D3D"/>
      <w:u w:val="none"/>
    </w:rPr>
  </w:style>
  <w:style w:type="character" w:styleId="6">
    <w:name w:val="Hyperlink"/>
    <w:basedOn w:val="3"/>
    <w:qFormat/>
    <w:uiPriority w:val="0"/>
    <w:rPr>
      <w:rFonts w:hint="eastAsia" w:ascii="宋体" w:hAnsi="宋体" w:eastAsia="宋体" w:cs="宋体"/>
      <w:color w:val="3D3D3D"/>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2018-04-11T08:31:03Z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