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阳春市“证照分离”改革试点重点任务分工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tbl>
      <w:tblPr>
        <w:tblW w:w="8304" w:type="dxa"/>
        <w:jc w:val="center"/>
        <w:tblCellSpacing w:w="0" w:type="dxa"/>
        <w:tblInd w:w="2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"/>
        <w:gridCol w:w="2408"/>
        <w:gridCol w:w="1671"/>
        <w:gridCol w:w="2147"/>
        <w:gridCol w:w="15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重点任务分工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牵头部门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参与部门</w:t>
            </w:r>
          </w:p>
        </w:tc>
        <w:tc>
          <w:tcPr>
            <w:tcW w:w="1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完成时限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推进住所（经营场所）登记改革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市法制局和其他审批部门</w:t>
            </w:r>
          </w:p>
        </w:tc>
        <w:tc>
          <w:tcPr>
            <w:tcW w:w="15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推进名称登记改革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试行“多证合一、一照一码”登记模式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市公安局、市人行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推行商事登记银政直通车服务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市人行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市建行、市农行等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商业银行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推广“互联网+商事登记”服务模式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市政管局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市人行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市建行、市农行等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商业银行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开展后置审批分类改革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市编办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市法制局和其他审批部门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强化落实“双告知”工作，完善相关信息平台建设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市各有关监管部门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加快实施“双随机、一公开”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市编办、市各有关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监管部门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建立完善信用约束机制</w:t>
            </w:r>
          </w:p>
        </w:tc>
        <w:tc>
          <w:tcPr>
            <w:tcW w:w="1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市工商局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市各有关监管部门</w:t>
            </w:r>
          </w:p>
        </w:tc>
        <w:tc>
          <w:tcPr>
            <w:tcW w:w="15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right="0"/>
        <w:jc w:val="both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7D54171"/>
    <w:rsid w:val="17EB127C"/>
    <w:rsid w:val="18796507"/>
    <w:rsid w:val="22BA2453"/>
    <w:rsid w:val="239E7352"/>
    <w:rsid w:val="2F343C0D"/>
    <w:rsid w:val="378F0C60"/>
    <w:rsid w:val="403B53A8"/>
    <w:rsid w:val="44E16E9B"/>
    <w:rsid w:val="479F2B9B"/>
    <w:rsid w:val="48DE1486"/>
    <w:rsid w:val="4F910273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2018-04-12T06:24:13Z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