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adjustRightInd/>
        <w:spacing w:line="620" w:lineRule="exact"/>
        <w:ind w:left="0" w:leftChars="0"/>
        <w:jc w:val="center"/>
        <w:textAlignment w:val="auto"/>
        <w:rPr>
          <w:rFonts w:hint="eastAsia" w:ascii="方正小标宋简体" w:hAnsi="方正小标宋简体" w:eastAsia="方正小标宋简体" w:cs="方正小标宋简体"/>
          <w:b w:val="0"/>
          <w:bCs/>
          <w:color w:val="auto"/>
          <w:spacing w:val="0"/>
          <w:sz w:val="44"/>
          <w:szCs w:val="44"/>
          <w:lang w:eastAsia="zh-CN"/>
        </w:rPr>
      </w:pPr>
      <w:r>
        <w:rPr>
          <w:rFonts w:hint="eastAsia" w:ascii="方正小标宋简体" w:hAnsi="方正小标宋简体" w:eastAsia="方正小标宋简体" w:cs="方正小标宋简体"/>
          <w:b w:val="0"/>
          <w:bCs/>
          <w:color w:val="auto"/>
          <w:spacing w:val="0"/>
          <w:sz w:val="44"/>
          <w:szCs w:val="44"/>
        </w:rPr>
        <w:t>银川市行政审批服务局201</w:t>
      </w:r>
      <w:r>
        <w:rPr>
          <w:rFonts w:hint="eastAsia" w:ascii="方正小标宋简体" w:hAnsi="方正小标宋简体" w:eastAsia="方正小标宋简体" w:cs="方正小标宋简体"/>
          <w:b w:val="0"/>
          <w:bCs/>
          <w:color w:val="auto"/>
          <w:spacing w:val="0"/>
          <w:sz w:val="44"/>
          <w:szCs w:val="44"/>
          <w:lang w:val="en-US" w:eastAsia="zh-CN"/>
        </w:rPr>
        <w:t>8</w:t>
      </w:r>
      <w:r>
        <w:rPr>
          <w:rFonts w:hint="eastAsia" w:ascii="方正小标宋简体" w:hAnsi="方正小标宋简体" w:eastAsia="方正小标宋简体" w:cs="方正小标宋简体"/>
          <w:b w:val="0"/>
          <w:bCs/>
          <w:color w:val="auto"/>
          <w:spacing w:val="0"/>
          <w:sz w:val="44"/>
          <w:szCs w:val="44"/>
        </w:rPr>
        <w:t>年工作</w:t>
      </w:r>
      <w:r>
        <w:rPr>
          <w:rFonts w:hint="eastAsia" w:ascii="方正小标宋简体" w:hAnsi="方正小标宋简体" w:eastAsia="方正小标宋简体" w:cs="方正小标宋简体"/>
          <w:b w:val="0"/>
          <w:bCs/>
          <w:color w:val="auto"/>
          <w:spacing w:val="0"/>
          <w:sz w:val="44"/>
          <w:szCs w:val="44"/>
          <w:lang w:eastAsia="zh-CN"/>
        </w:rPr>
        <w:t>要点责任分工</w:t>
      </w:r>
    </w:p>
    <w:p>
      <w:pPr>
        <w:keepNext w:val="0"/>
        <w:keepLines w:val="0"/>
        <w:pageBreakBefore w:val="0"/>
        <w:kinsoku/>
        <w:overflowPunct/>
        <w:topLinePunct w:val="0"/>
        <w:bidi w:val="0"/>
        <w:adjustRightInd/>
        <w:spacing w:line="620" w:lineRule="exact"/>
        <w:ind w:left="0" w:leftChars="0"/>
        <w:jc w:val="center"/>
        <w:textAlignment w:val="auto"/>
        <w:rPr>
          <w:rFonts w:hint="eastAsia" w:ascii="方正小标宋简体" w:hAnsi="方正小标宋简体" w:eastAsia="方正小标宋简体" w:cs="方正小标宋简体"/>
          <w:b w:val="0"/>
          <w:bCs/>
          <w:color w:val="auto"/>
          <w:spacing w:val="0"/>
          <w:sz w:val="44"/>
          <w:szCs w:val="44"/>
          <w:lang w:eastAsia="zh-CN"/>
        </w:rPr>
      </w:pPr>
    </w:p>
    <w:tbl>
      <w:tblPr>
        <w:tblStyle w:val="6"/>
        <w:tblW w:w="143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2022"/>
        <w:gridCol w:w="7061"/>
        <w:gridCol w:w="1541"/>
        <w:gridCol w:w="1555"/>
        <w:gridCol w:w="1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blHeader/>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序号</w:t>
            </w:r>
          </w:p>
        </w:tc>
        <w:tc>
          <w:tcPr>
            <w:tcW w:w="2022"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标题</w:t>
            </w:r>
          </w:p>
        </w:tc>
        <w:tc>
          <w:tcPr>
            <w:tcW w:w="7061" w:type="dxa"/>
            <w:vAlign w:val="center"/>
          </w:tcPr>
          <w:p>
            <w:pPr>
              <w:keepNext w:val="0"/>
              <w:keepLines w:val="0"/>
              <w:pageBreakBefore w:val="0"/>
              <w:tabs>
                <w:tab w:val="left" w:pos="485"/>
              </w:tabs>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具体内容</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牵头处室</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配合处室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方正小标宋简体" w:cs="Times New Roman"/>
                <w:b w:val="0"/>
                <w:bCs/>
                <w:color w:val="auto"/>
                <w:spacing w:val="0"/>
                <w:sz w:val="24"/>
                <w:szCs w:val="24"/>
                <w:vertAlign w:val="baseline"/>
                <w:lang w:eastAsia="zh-CN"/>
              </w:rPr>
              <w:t>牵头领导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sz w:val="24"/>
                <w:szCs w:val="24"/>
                <w:vertAlign w:val="baseline"/>
                <w:lang w:eastAsia="zh-CN"/>
              </w:rPr>
              <w:t>一</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400" w:lineRule="exact"/>
              <w:ind w:left="0" w:leftChars="0" w:right="0" w:rightChars="0" w:firstLine="0" w:firstLineChars="0"/>
              <w:jc w:val="both"/>
              <w:textAlignment w:val="auto"/>
              <w:outlineLvl w:val="2"/>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sz w:val="24"/>
                <w:szCs w:val="24"/>
                <w:lang w:eastAsia="zh-CN"/>
              </w:rPr>
              <w:t>筑牢以人民为中心的思想，全面贯彻落实</w:t>
            </w:r>
            <w:r>
              <w:rPr>
                <w:rFonts w:hint="default" w:ascii="Times New Roman" w:hAnsi="Times New Roman" w:eastAsia="宋体" w:cs="Times New Roman"/>
                <w:b/>
                <w:bCs w:val="0"/>
                <w:color w:val="auto"/>
                <w:spacing w:val="0"/>
                <w:sz w:val="24"/>
                <w:szCs w:val="24"/>
                <w:lang w:val="en-US" w:eastAsia="zh-CN"/>
              </w:rPr>
              <w:t>党的十九大精神</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0"/>
                <w:szCs w:val="20"/>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要始终坚持便民、利民、为民、惠民的</w:t>
            </w:r>
            <w:r>
              <w:rPr>
                <w:rFonts w:hint="default" w:ascii="Times New Roman" w:hAnsi="Times New Roman" w:eastAsia="仿宋_GB2312" w:cs="Times New Roman"/>
                <w:b w:val="0"/>
                <w:color w:val="auto"/>
                <w:spacing w:val="0"/>
                <w:kern w:val="2"/>
                <w:sz w:val="24"/>
                <w:szCs w:val="24"/>
                <w:lang w:val="zh-CN" w:eastAsia="zh-CN" w:bidi="ar-SA"/>
              </w:rPr>
              <w:t>行政审批制度改革初衷，</w:t>
            </w:r>
            <w:r>
              <w:rPr>
                <w:rFonts w:hint="default" w:ascii="Times New Roman" w:hAnsi="Times New Roman" w:eastAsia="仿宋_GB2312" w:cs="Times New Roman"/>
                <w:b w:val="0"/>
                <w:color w:val="auto"/>
                <w:spacing w:val="0"/>
                <w:kern w:val="2"/>
                <w:sz w:val="24"/>
                <w:szCs w:val="24"/>
                <w:lang w:val="en-US" w:eastAsia="zh-CN" w:bidi="ar-SA"/>
              </w:rPr>
              <w:t>把以人民为中心的发展思想体现在经济社会发展各个环节，做到老百姓关心什么、期盼什么，改革就要抓住什么、推进什么，通过改革给人民群众带来更多获得感，努力做到干在实处、走在前列、勇立潮头。</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方正小标宋简体" w:cs="Times New Roman"/>
                <w:b w:val="0"/>
                <w:bCs/>
                <w:color w:val="auto"/>
                <w:spacing w:val="0"/>
                <w:sz w:val="24"/>
                <w:szCs w:val="24"/>
                <w:vertAlign w:val="baseline"/>
                <w:lang w:eastAsia="zh-CN"/>
              </w:rPr>
            </w:pPr>
            <w:r>
              <w:rPr>
                <w:rFonts w:hint="default" w:ascii="Times New Roman" w:hAnsi="Times New Roman" w:eastAsia="宋体" w:cs="Times New Roman"/>
                <w:b/>
                <w:bCs w:val="0"/>
                <w:color w:val="auto"/>
                <w:spacing w:val="0"/>
                <w:sz w:val="24"/>
                <w:szCs w:val="24"/>
                <w:vertAlign w:val="baseline"/>
                <w:lang w:eastAsia="zh-CN"/>
              </w:rPr>
              <w:t>各处室</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sz w:val="24"/>
                <w:szCs w:val="24"/>
                <w:vertAlign w:val="baseline"/>
                <w:lang w:eastAsia="zh-CN"/>
              </w:rPr>
              <w:t>各处室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潘灵胜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kern w:val="0"/>
                <w:sz w:val="24"/>
                <w:szCs w:val="24"/>
                <w:lang w:val="en-US" w:eastAsia="zh-CN" w:bidi="zh-CN"/>
              </w:rPr>
              <w:t>二</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400" w:lineRule="exact"/>
              <w:ind w:left="0" w:leftChars="0" w:right="0" w:rightChars="0" w:firstLine="0" w:firstLineChars="0"/>
              <w:jc w:val="both"/>
              <w:textAlignment w:val="auto"/>
              <w:outlineLvl w:val="2"/>
              <w:rPr>
                <w:rFonts w:hint="default" w:ascii="Times New Roman" w:hAnsi="Times New Roman" w:eastAsia="宋体" w:cs="Times New Roman"/>
                <w:b/>
                <w:bCs w:val="0"/>
                <w:color w:val="auto"/>
                <w:spacing w:val="0"/>
                <w:sz w:val="24"/>
                <w:szCs w:val="24"/>
                <w:lang w:eastAsia="zh-CN"/>
              </w:rPr>
            </w:pPr>
            <w:r>
              <w:rPr>
                <w:rFonts w:hint="default" w:ascii="Times New Roman" w:hAnsi="Times New Roman" w:eastAsia="宋体" w:cs="Times New Roman"/>
                <w:b/>
                <w:bCs w:val="0"/>
                <w:color w:val="auto"/>
                <w:spacing w:val="0"/>
                <w:sz w:val="24"/>
                <w:szCs w:val="24"/>
                <w:lang w:val="en-US" w:eastAsia="zh-CN"/>
              </w:rPr>
              <w:t>全力推进第二轮改革，建设好“两个大厅”</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r>
              <w:rPr>
                <w:rFonts w:hint="default" w:ascii="Times New Roman" w:hAnsi="Times New Roman" w:eastAsia="仿宋_GB2312" w:cs="Times New Roman"/>
                <w:b w:val="0"/>
                <w:color w:val="auto"/>
                <w:spacing w:val="0"/>
                <w:kern w:val="2"/>
                <w:sz w:val="24"/>
                <w:szCs w:val="24"/>
                <w:lang w:val="zh-CN" w:eastAsia="zh-CN" w:bidi="ar-SA"/>
              </w:rPr>
              <w:t>打破原有的业务处室和流程设置，对实施的审批事项</w:t>
            </w:r>
            <w:r>
              <w:rPr>
                <w:rFonts w:hint="default" w:ascii="Times New Roman" w:hAnsi="Times New Roman" w:eastAsia="仿宋_GB2312" w:cs="Times New Roman"/>
                <w:b w:val="0"/>
                <w:color w:val="auto"/>
                <w:spacing w:val="0"/>
                <w:kern w:val="2"/>
                <w:sz w:val="24"/>
                <w:szCs w:val="24"/>
                <w:lang w:val="en-US" w:eastAsia="zh-CN" w:bidi="ar-SA"/>
              </w:rPr>
              <w:t>重新归类、</w:t>
            </w:r>
            <w:r>
              <w:rPr>
                <w:rFonts w:hint="default" w:ascii="Times New Roman" w:hAnsi="Times New Roman" w:eastAsia="仿宋_GB2312" w:cs="Times New Roman"/>
                <w:b w:val="0"/>
                <w:color w:val="auto"/>
                <w:spacing w:val="0"/>
                <w:kern w:val="2"/>
                <w:sz w:val="24"/>
                <w:szCs w:val="24"/>
                <w:lang w:val="zh-CN" w:eastAsia="zh-CN" w:bidi="ar-SA"/>
              </w:rPr>
              <w:t>重塑流程，推进商事登记服务大厅和投资项目服务大厅建设，制定总体实施方案（包含人员调配，两个大厅具体运行等工作）确保系统网络、人员设备配备到位。实现企业登记</w:t>
            </w:r>
            <w:r>
              <w:rPr>
                <w:rFonts w:hint="default" w:ascii="Times New Roman" w:hAnsi="Times New Roman" w:eastAsia="仿宋_GB2312" w:cs="Times New Roman"/>
                <w:b w:val="0"/>
                <w:color w:val="auto"/>
                <w:spacing w:val="0"/>
                <w:kern w:val="2"/>
                <w:sz w:val="24"/>
                <w:szCs w:val="24"/>
                <w:lang w:val="en-US" w:eastAsia="zh-CN" w:bidi="ar-SA"/>
              </w:rPr>
              <w:t>1日办结，一般工业项目1月开工</w:t>
            </w:r>
            <w:r>
              <w:rPr>
                <w:rFonts w:hint="default" w:ascii="Times New Roman" w:hAnsi="Times New Roman" w:eastAsia="仿宋_GB2312" w:cs="Times New Roman"/>
                <w:b w:val="0"/>
                <w:color w:val="auto"/>
                <w:spacing w:val="0"/>
                <w:kern w:val="2"/>
                <w:sz w:val="24"/>
                <w:szCs w:val="24"/>
                <w:lang w:val="zh-CN" w:eastAsia="zh-CN" w:bidi="ar-SA"/>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sz w:val="24"/>
                <w:szCs w:val="24"/>
                <w:vertAlign w:val="baseline"/>
                <w:lang w:val="en-US" w:eastAsia="zh-CN"/>
              </w:rPr>
            </w:pPr>
            <w:r>
              <w:rPr>
                <w:rFonts w:hint="default" w:ascii="Times New Roman" w:hAnsi="Times New Roman" w:cs="Times New Roman"/>
                <w:b/>
                <w:bCs w:val="0"/>
                <w:color w:val="auto"/>
                <w:spacing w:val="0"/>
                <w:sz w:val="24"/>
                <w:szCs w:val="24"/>
                <w:vertAlign w:val="baseline"/>
                <w:lang w:val="en-US" w:eastAsia="zh-CN"/>
              </w:rPr>
              <w:t>业务督办处运行监管处</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马</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斌</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方国泉</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刘艳峰</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强</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娟</w:t>
            </w:r>
            <w:r>
              <w:rPr>
                <w:rFonts w:hint="default" w:ascii="Times New Roman" w:hAnsi="Times New Roman" w:cs="Times New Roman"/>
                <w:b/>
                <w:bCs w:val="0"/>
                <w:color w:val="auto"/>
                <w:spacing w:val="0"/>
                <w:sz w:val="24"/>
                <w:szCs w:val="24"/>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8"/>
                <w:szCs w:val="28"/>
                <w:lang w:val="en-US" w:eastAsia="zh-CN" w:bidi="zh-CN"/>
              </w:rPr>
              <w:t>三</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eastAsia="宋体" w:cs="Times New Roman"/>
                <w:b/>
                <w:bCs w:val="0"/>
                <w:color w:val="auto"/>
                <w:spacing w:val="0"/>
                <w:kern w:val="0"/>
                <w:sz w:val="24"/>
                <w:szCs w:val="24"/>
                <w:lang w:val="zh-CN" w:eastAsia="zh-CN" w:bidi="zh-CN"/>
              </w:rPr>
              <w:t>深入推进六大创新，力促改革实现新突破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4"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0"/>
                <w:szCs w:val="20"/>
                <w:lang w:val="en-US" w:eastAsia="zh-CN" w:bidi="zh-CN"/>
              </w:rPr>
              <w:t>（一）</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多评合一</w:t>
            </w:r>
          </w:p>
        </w:tc>
        <w:tc>
          <w:tcPr>
            <w:tcW w:w="7061" w:type="dxa"/>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after="0" w:afterAutospacing="0" w:line="400" w:lineRule="exact"/>
              <w:ind w:right="0" w:rightChars="0"/>
              <w:jc w:val="both"/>
              <w:textAlignment w:val="auto"/>
              <w:outlineLvl w:val="2"/>
              <w:rPr>
                <w:rFonts w:hint="default" w:ascii="Times New Roman" w:hAnsi="Times New Roman" w:eastAsia="仿宋_GB2312" w:cs="Times New Roman"/>
                <w:b w:val="0"/>
                <w:color w:val="auto"/>
                <w:spacing w:val="0"/>
                <w:kern w:val="2"/>
                <w:sz w:val="20"/>
                <w:szCs w:val="20"/>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全面</w:t>
            </w:r>
            <w:r>
              <w:rPr>
                <w:rFonts w:hint="default" w:ascii="Times New Roman" w:hAnsi="Times New Roman" w:eastAsia="仿宋_GB2312" w:cs="Times New Roman"/>
                <w:b w:val="0"/>
                <w:color w:val="auto"/>
                <w:spacing w:val="0"/>
                <w:kern w:val="2"/>
                <w:sz w:val="24"/>
                <w:szCs w:val="24"/>
                <w:lang w:val="zh-CN" w:eastAsia="zh-CN" w:bidi="ar-SA"/>
              </w:rPr>
              <w:t>梳理投资项目“涉评”审批事项，实行权限内投资项目立项阶段中涉及的环境影响评价、节能评估、安全评价等各类评估评审事项并行办理，</w:t>
            </w:r>
            <w:r>
              <w:rPr>
                <w:rFonts w:hint="default" w:ascii="Times New Roman" w:hAnsi="Times New Roman" w:eastAsia="仿宋_GB2312" w:cs="Times New Roman"/>
                <w:b w:val="0"/>
                <w:color w:val="auto"/>
                <w:spacing w:val="0"/>
                <w:kern w:val="2"/>
                <w:sz w:val="24"/>
                <w:szCs w:val="24"/>
                <w:lang w:val="en-US" w:eastAsia="zh-CN" w:bidi="ar-SA"/>
              </w:rPr>
              <w:t>并在法律法规允许的情况下将多个评价报告合编为一个，</w:t>
            </w:r>
            <w:r>
              <w:rPr>
                <w:rFonts w:hint="default" w:ascii="Times New Roman" w:hAnsi="Times New Roman" w:eastAsia="仿宋_GB2312" w:cs="Times New Roman"/>
                <w:b w:val="0"/>
                <w:color w:val="auto"/>
                <w:spacing w:val="0"/>
                <w:kern w:val="2"/>
                <w:sz w:val="24"/>
                <w:szCs w:val="24"/>
                <w:lang w:val="zh-CN" w:eastAsia="zh-CN" w:bidi="ar-SA"/>
              </w:rPr>
              <w:t>推动投资项目尽快落地见效。</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立项审查处</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刘艳峰</w:t>
            </w:r>
            <w:r>
              <w:rPr>
                <w:rFonts w:hint="default" w:ascii="Times New Roman" w:hAnsi="Times New Roman" w:cs="Times New Roman"/>
                <w:b/>
                <w:bCs w:val="0"/>
                <w:color w:val="auto"/>
                <w:spacing w:val="0"/>
                <w:sz w:val="24"/>
                <w:szCs w:val="24"/>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1"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cs="Times New Roman"/>
                <w:b/>
                <w:bCs w:val="0"/>
                <w:color w:val="auto"/>
                <w:spacing w:val="0"/>
                <w:kern w:val="0"/>
                <w:sz w:val="20"/>
                <w:szCs w:val="20"/>
                <w:lang w:val="en-US" w:eastAsia="zh-CN" w:bidi="zh-CN"/>
              </w:rPr>
              <w:t>（二）</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多图联审</w:t>
            </w:r>
          </w:p>
        </w:tc>
        <w:tc>
          <w:tcPr>
            <w:tcW w:w="7061" w:type="dxa"/>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after="0" w:afterAutospacing="0" w:line="400" w:lineRule="exact"/>
              <w:ind w:right="0" w:rightChars="0"/>
              <w:jc w:val="both"/>
              <w:textAlignment w:val="auto"/>
              <w:outlineLvl w:val="2"/>
              <w:rPr>
                <w:rFonts w:hint="default" w:ascii="Times New Roman" w:hAnsi="Times New Roman" w:eastAsia="仿宋_GB2312" w:cs="Times New Roman"/>
                <w:b w:val="0"/>
                <w:color w:val="auto"/>
                <w:spacing w:val="0"/>
                <w:kern w:val="2"/>
                <w:sz w:val="24"/>
                <w:szCs w:val="24"/>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探索开展新型建设项目图纸审查方式，将分散在各业务主管部门或中介服务机构的各类图审事项同步并联电子审查，通过搭建电子化多图联审系统，将各类图纸在互联网上报送、审核、修改、过程留痕、签章和储存，实现“统一受理、联合审图、网上流转、数字交付、限时办结”的改革新模式，提升施工图审查的整体效率。</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勘查验收处</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sz w:val="28"/>
                <w:szCs w:val="28"/>
                <w:vertAlign w:val="baseline"/>
                <w:lang w:val="en-US" w:eastAsia="zh-CN"/>
              </w:rPr>
            </w:pPr>
            <w:r>
              <w:rPr>
                <w:rFonts w:hint="default" w:ascii="Times New Roman" w:hAnsi="Times New Roman" w:cs="Times New Roman"/>
                <w:b/>
                <w:bCs w:val="0"/>
                <w:color w:val="auto"/>
                <w:spacing w:val="0"/>
                <w:sz w:val="24"/>
                <w:szCs w:val="24"/>
                <w:vertAlign w:val="baseline"/>
                <w:lang w:eastAsia="zh-CN"/>
              </w:rPr>
              <w:t>刘艳峰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cs="Times New Roman"/>
                <w:b/>
                <w:bCs w:val="0"/>
                <w:color w:val="auto"/>
                <w:spacing w:val="0"/>
                <w:kern w:val="0"/>
                <w:sz w:val="20"/>
                <w:szCs w:val="20"/>
                <w:lang w:val="en-US" w:eastAsia="zh-CN" w:bidi="zh-CN"/>
              </w:rPr>
              <w:t>（三）</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多验合一</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0"/>
                <w:szCs w:val="20"/>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设置综合报验窗口，对建设项目竣工验收实行统一受理、集中验收、限时办结、统一确认。验收部门通过“政务服务管理平台”提交资料审核意见和验收结果，规范建设项目竣工验收流程，提高竣工验收工作效率。</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勘查验收处</w:t>
            </w:r>
          </w:p>
        </w:tc>
        <w:tc>
          <w:tcPr>
            <w:tcW w:w="1555"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强</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8"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cs="Times New Roman"/>
                <w:b/>
                <w:bCs w:val="0"/>
                <w:color w:val="auto"/>
                <w:spacing w:val="0"/>
                <w:kern w:val="0"/>
                <w:sz w:val="20"/>
                <w:szCs w:val="20"/>
                <w:lang w:val="en-US" w:eastAsia="zh-CN" w:bidi="zh-CN"/>
              </w:rPr>
              <w:t>（四）</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多窗合一</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0"/>
                <w:szCs w:val="20"/>
                <w:lang w:val="en-US" w:eastAsia="zh-CN" w:bidi="ar-SA"/>
              </w:rPr>
            </w:pPr>
            <w:r>
              <w:rPr>
                <w:rFonts w:hint="default" w:ascii="Times New Roman" w:hAnsi="Times New Roman" w:eastAsia="仿宋_GB2312" w:cs="Times New Roman"/>
                <w:b w:val="0"/>
                <w:color w:val="auto"/>
                <w:spacing w:val="0"/>
                <w:kern w:val="2"/>
                <w:sz w:val="24"/>
                <w:szCs w:val="24"/>
                <w:lang w:val="zh-CN" w:eastAsia="zh-CN" w:bidi="ar-SA"/>
              </w:rPr>
              <w:t>实行事项“大分类、小综合”和“内部流转，并联审批”的办理模式，通过前台一窗综合受理、后台分类并联审批，实现准营多证联办、统一窗口出件的“多窗合一”便捷审批服务模式。</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业务督办处</w:t>
            </w:r>
          </w:p>
        </w:tc>
        <w:tc>
          <w:tcPr>
            <w:tcW w:w="1555" w:type="dxa"/>
            <w:vAlign w:val="center"/>
          </w:tcPr>
          <w:p>
            <w:pPr>
              <w:keepNext w:val="0"/>
              <w:keepLines w:val="0"/>
              <w:pageBreakBefore w:val="0"/>
              <w:kinsoku/>
              <w:overflowPunct/>
              <w:topLinePunct w:val="0"/>
              <w:bidi w:val="0"/>
              <w:adjustRightInd/>
              <w:spacing w:line="620" w:lineRule="exact"/>
              <w:jc w:val="both"/>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马</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斌</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方国泉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9"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cs="Times New Roman"/>
                <w:b/>
                <w:bCs w:val="0"/>
                <w:color w:val="auto"/>
                <w:spacing w:val="0"/>
                <w:kern w:val="0"/>
                <w:sz w:val="20"/>
                <w:szCs w:val="20"/>
                <w:lang w:val="en-US" w:eastAsia="zh-CN" w:bidi="zh-CN"/>
              </w:rPr>
              <w:t>（五）</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多证合一</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0"/>
                <w:szCs w:val="20"/>
                <w:lang w:val="zh-CN" w:eastAsia="zh-CN" w:bidi="ar-SA"/>
              </w:rPr>
            </w:pPr>
            <w:r>
              <w:rPr>
                <w:rFonts w:hint="default" w:ascii="Times New Roman" w:hAnsi="Times New Roman" w:eastAsia="仿宋_GB2312" w:cs="Times New Roman"/>
                <w:b w:val="0"/>
                <w:color w:val="auto"/>
                <w:spacing w:val="0"/>
                <w:kern w:val="2"/>
                <w:sz w:val="24"/>
                <w:szCs w:val="24"/>
                <w:lang w:val="en-US" w:eastAsia="zh-CN" w:bidi="ar-SA"/>
              </w:rPr>
              <w:t>在企业注册“五证合一、一照一码”和个体工商户“两证整合”登记制度基础上，将一般经营项目中涉企的证、照、表等多个登记备案事项合并办理，进一步整合到营业执照上，企业不再另行办理其他备案事项登记。</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市场服务</w:t>
            </w:r>
          </w:p>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二处</w:t>
            </w:r>
          </w:p>
        </w:tc>
        <w:tc>
          <w:tcPr>
            <w:tcW w:w="1555" w:type="dxa"/>
            <w:vAlign w:val="center"/>
          </w:tcPr>
          <w:p>
            <w:pPr>
              <w:keepNext w:val="0"/>
              <w:keepLines w:val="0"/>
              <w:pageBreakBefore w:val="0"/>
              <w:kinsoku/>
              <w:overflowPunct/>
              <w:topLinePunct w:val="0"/>
              <w:bidi w:val="0"/>
              <w:adjustRightInd/>
              <w:spacing w:line="620" w:lineRule="exact"/>
              <w:jc w:val="both"/>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方国泉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6"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cs="Times New Roman"/>
                <w:b/>
                <w:bCs w:val="0"/>
                <w:color w:val="auto"/>
                <w:spacing w:val="0"/>
                <w:kern w:val="0"/>
                <w:sz w:val="20"/>
                <w:szCs w:val="20"/>
                <w:lang w:val="en-US" w:eastAsia="zh-CN" w:bidi="zh-CN"/>
              </w:rPr>
              <w:t>（六）</w:t>
            </w:r>
          </w:p>
        </w:tc>
        <w:tc>
          <w:tcPr>
            <w:tcW w:w="2022" w:type="dxa"/>
            <w:vAlign w:val="center"/>
          </w:tcPr>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after="0" w:afterAutospacing="0" w:line="620" w:lineRule="exact"/>
              <w:ind w:left="0" w:leftChars="0" w:right="0" w:rightChars="0" w:firstLine="0" w:firstLineChars="0"/>
              <w:jc w:val="center"/>
              <w:textAlignment w:val="auto"/>
              <w:outlineLvl w:val="2"/>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多表合一</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r>
              <w:rPr>
                <w:rFonts w:hint="default" w:ascii="Times New Roman" w:hAnsi="Times New Roman" w:eastAsia="仿宋_GB2312" w:cs="Times New Roman"/>
                <w:b w:val="0"/>
                <w:color w:val="auto"/>
                <w:spacing w:val="0"/>
                <w:kern w:val="2"/>
                <w:sz w:val="24"/>
                <w:szCs w:val="24"/>
                <w:lang w:val="zh-CN" w:eastAsia="zh-CN" w:bidi="ar-SA"/>
              </w:rPr>
              <w:t>对所有实施审批事项申请材料再梳理，通过对审批申请中须提交的证明、申请、登记、注册、审核等各类表册、材料进行修改、合并、优化，用一张表格替代单个或多个审批事项的多个申请表格、材料，实现“一张表格办成事”。</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zh-CN"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2"/>
                <w:szCs w:val="22"/>
                <w:vertAlign w:val="baseline"/>
                <w:lang w:eastAsia="zh-CN"/>
              </w:rPr>
            </w:pPr>
            <w:r>
              <w:rPr>
                <w:rFonts w:hint="default" w:ascii="Times New Roman" w:hAnsi="Times New Roman" w:cs="Times New Roman"/>
                <w:b/>
                <w:bCs w:val="0"/>
                <w:color w:val="auto"/>
                <w:spacing w:val="0"/>
                <w:sz w:val="24"/>
                <w:szCs w:val="24"/>
                <w:vertAlign w:val="baseline"/>
                <w:lang w:eastAsia="zh-CN"/>
              </w:rPr>
              <w:t>业务督办处</w:t>
            </w:r>
          </w:p>
        </w:tc>
        <w:tc>
          <w:tcPr>
            <w:tcW w:w="1555" w:type="dxa"/>
            <w:vAlign w:val="center"/>
          </w:tcPr>
          <w:p>
            <w:pPr>
              <w:keepNext w:val="0"/>
              <w:keepLines w:val="0"/>
              <w:pageBreakBefore w:val="0"/>
              <w:kinsoku/>
              <w:overflowPunct/>
              <w:topLinePunct w:val="0"/>
              <w:bidi w:val="0"/>
              <w:adjustRightInd/>
              <w:spacing w:line="620" w:lineRule="exact"/>
              <w:jc w:val="both"/>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各相关处室</w:t>
            </w:r>
          </w:p>
        </w:tc>
        <w:tc>
          <w:tcPr>
            <w:tcW w:w="1432"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sz w:val="28"/>
                <w:szCs w:val="28"/>
                <w:vertAlign w:val="baseline"/>
                <w:lang w:eastAsia="zh-CN"/>
              </w:rPr>
            </w:pPr>
            <w:r>
              <w:rPr>
                <w:rFonts w:hint="default" w:ascii="Times New Roman" w:hAnsi="Times New Roman" w:cs="Times New Roman"/>
                <w:b/>
                <w:bCs w:val="0"/>
                <w:color w:val="auto"/>
                <w:spacing w:val="0"/>
                <w:sz w:val="24"/>
                <w:szCs w:val="24"/>
                <w:vertAlign w:val="baseline"/>
                <w:lang w:eastAsia="zh-CN"/>
              </w:rPr>
              <w:t>马</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四</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kern w:val="0"/>
                <w:sz w:val="24"/>
                <w:szCs w:val="24"/>
                <w:lang w:val="zh-CN" w:eastAsia="zh-CN" w:bidi="zh-CN"/>
              </w:rPr>
              <w:t>重点抓好九个方面工作，持续擦亮行政审批改革“银川模式”品牌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（一）</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z w:val="24"/>
                <w:szCs w:val="24"/>
                <w:lang w:val="en-US" w:eastAsia="zh-CN"/>
              </w:rPr>
              <w:t>以党建品牌为抓手，</w:t>
            </w:r>
            <w:r>
              <w:rPr>
                <w:rFonts w:hint="default" w:ascii="Times New Roman" w:hAnsi="Times New Roman" w:eastAsia="宋体" w:cs="Times New Roman"/>
                <w:b/>
                <w:bCs w:val="0"/>
                <w:color w:val="auto"/>
                <w:sz w:val="24"/>
                <w:szCs w:val="24"/>
                <w:lang w:val="zh-CN" w:eastAsia="zh-CN"/>
              </w:rPr>
              <w:t>全面实施区域化党建阵地建设。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1"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1</w:t>
            </w:r>
          </w:p>
        </w:tc>
        <w:tc>
          <w:tcPr>
            <w:tcW w:w="202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color w:val="auto"/>
                <w:sz w:val="24"/>
                <w:szCs w:val="24"/>
                <w:lang w:val="en-US" w:eastAsia="zh-CN"/>
              </w:rPr>
              <w:t>深入贯彻落实党的十九大精神。</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仿宋_GB2312" w:cs="Times New Roman"/>
                <w:b w:val="0"/>
                <w:color w:val="auto"/>
                <w:spacing w:val="0"/>
                <w:kern w:val="2"/>
                <w:sz w:val="24"/>
                <w:szCs w:val="24"/>
                <w:lang w:val="en-US" w:eastAsia="zh-CN" w:bidi="ar-SA"/>
              </w:rPr>
              <w:t>要把认真学习贯彻十九大精神作为一项重大政治任务摆在首位，切实在学懂、弄通、做实上下功夫，推动十九大精神在市民大厅落地生根，开花结果。要把学习贯彻十九大精神与贯彻落实自治区第十二次党代会精神有机结合，聚焦涉及行政审批改革工作承担的各项改革任务，进一步提高工作站位，增强工作针对性和实效性，在新时代实现新作为。要结合“两学一做”学习教育常态化制度化，深入开展“不忘初心、牢记使命”主题教育，抓好党员干部学习教育，加强党性锻炼，坚定理想信念，强化纪律执行，不断提高党员干部政治觉悟和政治能力，扎实开展“学查改”作风整治活动，强化党建引领，持续打造“超五星级”市民大厅。</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机关党委  监察室</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齐文胜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5" w:hRule="atLeast"/>
        </w:trPr>
        <w:tc>
          <w:tcPr>
            <w:tcW w:w="73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2</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color w:val="auto"/>
                <w:kern w:val="0"/>
                <w:sz w:val="24"/>
                <w:szCs w:val="24"/>
                <w:lang w:val="en-US" w:eastAsia="zh-CN"/>
              </w:rPr>
              <w:t>创建“四比一争当”智慧精准服务品牌。</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在市民大厅中开展以党组织、党员为引领的比服务意识、比服务态度、比服务效率、比服务精准度，争当“最美微笑服务人”的“四比一争当”活动，打造城市基层党建示范点，创建全国一流的政务服务党建品牌。</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机关党委  监察室</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齐文胜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3</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zh-CN" w:eastAsia="zh-CN"/>
              </w:rPr>
              <w:t>全面实施区域化党建阵地建设。</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深入开展“三联三同”区域化党建工作，进一步提升基层党组织服务功能。结合两个大厅建设，调整、优化党组织设置，配齐配强党组织，切实增强基层党组织工作活力，压实党建责任，使基层党组织真正担负好直接教育党员、</w:t>
            </w:r>
            <w:bookmarkStart w:id="0" w:name="baidusnap3"/>
            <w:bookmarkEnd w:id="0"/>
            <w:r>
              <w:rPr>
                <w:rFonts w:hint="default" w:ascii="Times New Roman" w:hAnsi="Times New Roman" w:eastAsia="仿宋_GB2312" w:cs="Times New Roman"/>
                <w:b w:val="0"/>
                <w:color w:val="auto"/>
                <w:spacing w:val="0"/>
                <w:kern w:val="2"/>
                <w:sz w:val="24"/>
                <w:szCs w:val="24"/>
                <w:lang w:val="en-US" w:eastAsia="zh-CN" w:bidi="ar-SA"/>
              </w:rPr>
              <w:t>管理党员、监督党员和组织群众、宣传群众、凝聚群众、服务群众的职责。继续开展“评星定级强堡垒，亮牌评星争先锋”活动，设置评星定格公示牌。坚持抓好干部教育培训、下基层、进社区、“三会一课”“主题党日”“四新”微信学习制度化常态化，积极举办宣讲、演讲、征文、知识竞赛、考试测试等活动。统筹抓好实体和网络两个阵地建设，优化、重建市民大厅各类实体阵地，充分运用党建电子平台、网站、宣传屏、微信群、公众号等网络平台。</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机关党委</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各支部</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齐文胜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二</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val="0"/>
                <w:color w:val="auto"/>
                <w:sz w:val="24"/>
                <w:szCs w:val="24"/>
                <w:lang w:val="en-US" w:eastAsia="zh-CN"/>
              </w:rPr>
              <w:t>以人员素质提升为手段，凝聚队伍力量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8"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0"/>
                <w:szCs w:val="20"/>
                <w:lang w:val="en-US" w:eastAsia="zh-CN" w:bidi="zh-CN"/>
              </w:rPr>
            </w:pPr>
            <w:r>
              <w:rPr>
                <w:rFonts w:hint="default" w:ascii="Times New Roman" w:hAnsi="Times New Roman" w:eastAsia="宋体" w:cs="Times New Roman"/>
                <w:b/>
                <w:bCs w:val="0"/>
                <w:color w:val="auto"/>
                <w:spacing w:val="0"/>
                <w:kern w:val="0"/>
                <w:sz w:val="24"/>
                <w:szCs w:val="24"/>
                <w:lang w:val="en-US" w:eastAsia="zh-CN" w:bidi="zh-CN"/>
              </w:rPr>
              <w:t>4</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en-US" w:eastAsia="zh-CN"/>
              </w:rPr>
              <w:t>强化纪律作风建设。</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r>
              <w:rPr>
                <w:rFonts w:hint="default" w:ascii="Times New Roman" w:hAnsi="Times New Roman" w:eastAsia="仿宋_GB2312" w:cs="Times New Roman"/>
                <w:b w:val="0"/>
                <w:color w:val="auto"/>
                <w:spacing w:val="0"/>
                <w:kern w:val="2"/>
                <w:sz w:val="24"/>
                <w:szCs w:val="24"/>
                <w:lang w:val="en-US" w:eastAsia="zh-CN" w:bidi="ar-SA"/>
              </w:rPr>
              <w:t>全面落实党风廉政建设，坚持正风肃纪，强化纪律作风建设，为打造“超五星级”市民大厅提供坚强的纪律保证。压紧压实“两个责任”，逐级签订《党风廉政建设责任书》；健全责任追究机制，实行“一案四追责”；强化监督制约，坚决维护党的“六大纪律”特别是政治纪律和政治规矩，实现对行使公权力的公职人员监察全覆盖，进一步梳理廉政风险点和防范措施，健全廉政风险防控机制；强化监督执纪问责，不断扩大作风建设成果，运用好监督执纪“四种形态”，坚持“三前一后”，及时做好教育、规范、告诫，狠抓中央八项规定精神的落实。扎实开展“学.查.改”作风整治活动，落实《银川市行政审批服务局机关首办负责制度》，开展廉政警示教育，制定2018年党风廉政建设和反腐败工作要点，将任务细化，按班子成员明确到人，具体到各党支部、处室，督促各党组织完成全面从严治党工作任务。修订全面从严治党“三个清单”，做到一岗一责，一人一责。</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监察室</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齐文胜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5</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仿宋_GB2312" w:cs="Times New Roman"/>
                <w:b/>
                <w:bCs/>
                <w:color w:val="auto"/>
                <w:spacing w:val="0"/>
                <w:sz w:val="32"/>
                <w:szCs w:val="32"/>
                <w:lang w:val="en-US" w:eastAsia="zh-CN"/>
              </w:rPr>
            </w:pPr>
            <w:r>
              <w:rPr>
                <w:rFonts w:hint="default" w:ascii="Times New Roman" w:hAnsi="Times New Roman" w:eastAsia="宋体" w:cs="Times New Roman"/>
                <w:b/>
                <w:bCs/>
                <w:color w:val="auto"/>
                <w:kern w:val="0"/>
                <w:sz w:val="24"/>
                <w:szCs w:val="24"/>
                <w:lang w:val="en-US" w:eastAsia="zh-CN"/>
              </w:rPr>
              <w:t>建立人才培养机制，提升干部综合素质。</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明确干部提拔任用标准，强化干部监督管理，落实领导干部个人事项报告制度。</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综合处   </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李建荣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color w:val="auto"/>
                <w:kern w:val="0"/>
                <w:sz w:val="24"/>
                <w:szCs w:val="24"/>
                <w:lang w:val="en-US"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丰富关爱干部手段。</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工会</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6"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color w:val="auto"/>
                <w:kern w:val="0"/>
                <w:sz w:val="24"/>
                <w:szCs w:val="24"/>
                <w:lang w:val="en-US"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提高干部队伍综合素质，利用集中学、分散学、主题学、自主学等方式，持续抓好干部教育培训，继续发挥好“四新”学习小组平台优势，将其打造成为全局干部职工思维碰撞、凝聚智慧、增长技能的综合型学习平台。</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政策法规和 宣传处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三</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val="0"/>
                <w:color w:val="auto"/>
                <w:sz w:val="24"/>
                <w:szCs w:val="24"/>
                <w:lang w:val="en-US" w:eastAsia="zh-CN"/>
              </w:rPr>
              <w:t>以第二轮改革为突破，持续擦亮“银川品牌”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6</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推进商事制度改革，</w:t>
            </w:r>
            <w:r>
              <w:rPr>
                <w:rFonts w:hint="default" w:ascii="Times New Roman" w:hAnsi="Times New Roman" w:eastAsia="宋体" w:cs="Times New Roman"/>
                <w:b/>
                <w:bCs/>
                <w:color w:val="auto"/>
                <w:kern w:val="0"/>
                <w:sz w:val="24"/>
                <w:szCs w:val="24"/>
                <w:lang w:val="zh-CN" w:eastAsia="zh-CN"/>
              </w:rPr>
              <w:t>建成商事登记服务大厅</w:t>
            </w:r>
            <w:r>
              <w:rPr>
                <w:rFonts w:hint="default" w:ascii="Times New Roman" w:hAnsi="Times New Roman" w:eastAsia="宋体" w:cs="Times New Roman"/>
                <w:b/>
                <w:bCs/>
                <w:color w:val="auto"/>
                <w:kern w:val="0"/>
                <w:sz w:val="24"/>
                <w:szCs w:val="24"/>
                <w:lang w:val="en-US" w:eastAsia="zh-CN"/>
              </w:rPr>
              <w:t>。</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zh-CN" w:eastAsia="zh-CN" w:bidi="ar-SA"/>
              </w:rPr>
              <w:t>打破按工商、食药、文化、卫生设立窗口的体制，</w:t>
            </w:r>
            <w:r>
              <w:rPr>
                <w:rFonts w:hint="default" w:ascii="Times New Roman" w:hAnsi="Times New Roman" w:eastAsia="仿宋_GB2312" w:cs="Times New Roman"/>
                <w:b w:val="0"/>
                <w:color w:val="auto"/>
                <w:spacing w:val="0"/>
                <w:kern w:val="2"/>
                <w:sz w:val="24"/>
                <w:szCs w:val="24"/>
                <w:lang w:val="en-US" w:eastAsia="zh-CN" w:bidi="ar-SA"/>
              </w:rPr>
              <w:t>通过与税务、银行等部门共同改革，在市民大厅实行“一窗办理”</w:t>
            </w:r>
            <w:r>
              <w:rPr>
                <w:rFonts w:hint="default" w:ascii="Times New Roman" w:hAnsi="Times New Roman" w:eastAsia="仿宋_GB2312" w:cs="Times New Roman"/>
                <w:b w:val="0"/>
                <w:color w:val="auto"/>
                <w:spacing w:val="0"/>
                <w:kern w:val="2"/>
                <w:sz w:val="24"/>
                <w:szCs w:val="24"/>
                <w:lang w:val="zh-CN" w:eastAsia="zh-CN" w:bidi="ar-SA"/>
              </w:rPr>
              <w:t>，按照</w:t>
            </w:r>
            <w:r>
              <w:rPr>
                <w:rFonts w:hint="default" w:ascii="Times New Roman" w:hAnsi="Times New Roman" w:eastAsia="仿宋_GB2312" w:cs="Times New Roman"/>
                <w:b w:val="0"/>
                <w:color w:val="auto"/>
                <w:spacing w:val="0"/>
                <w:kern w:val="2"/>
                <w:sz w:val="24"/>
                <w:szCs w:val="24"/>
                <w:lang w:val="en-US" w:eastAsia="zh-CN" w:bidi="ar-SA"/>
              </w:rPr>
              <w:t>“一口解答、一套材料、一窗受理、一站办结、多证同发、一企一档”的“一窗通办”运行流程，实现一套材料可同时办理多项许可的“一对多”办理模式，切实减轻企业和群众的办事负担，解决“准入易准营难”的难题，通过一窗受理、流水作业，形成企业登记“一站办理、一日办结”。</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市场服务一、二处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业务督办处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方国泉  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7"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7</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优化建设项目审批，</w:t>
            </w:r>
            <w:r>
              <w:rPr>
                <w:rFonts w:hint="default" w:ascii="Times New Roman" w:hAnsi="Times New Roman" w:eastAsia="宋体" w:cs="Times New Roman"/>
                <w:b/>
                <w:bCs/>
                <w:color w:val="auto"/>
                <w:kern w:val="0"/>
                <w:sz w:val="24"/>
                <w:szCs w:val="24"/>
                <w:lang w:val="zh-CN" w:eastAsia="zh-CN"/>
              </w:rPr>
              <w:t>建成投资项目服务大厅</w:t>
            </w:r>
            <w:r>
              <w:rPr>
                <w:rFonts w:hint="default" w:ascii="Times New Roman" w:hAnsi="Times New Roman" w:eastAsia="宋体" w:cs="Times New Roman"/>
                <w:b/>
                <w:bCs/>
                <w:color w:val="auto"/>
                <w:kern w:val="0"/>
                <w:sz w:val="24"/>
                <w:szCs w:val="24"/>
                <w:lang w:val="en-US" w:eastAsia="zh-CN"/>
              </w:rPr>
              <w:t>。</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zh-CN" w:eastAsia="zh-CN" w:bidi="ar-SA"/>
              </w:rPr>
              <w:t>对现行投资项目审批流程进行融合再造，打破事项互为前置的约束，完善建设项目报批“最简流程图”“一张表”，实现建设项目审批“一图一表”服务新模式。积极运用“多规合一”最新成果，探索“多评合一” “电子多图联审”“多验合一”“中介超市”的投资项目审批新模式，无缝衔接宁夏投资项目在线审批监管平台，充分发挥在线平台一网受理、一网告知、一网审批、一网监督的作用。</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立项审查处施工许可处勘查验收处企业项目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服务处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业务督办处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刘艳峰   强  娟    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四</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en-US" w:eastAsia="zh-CN"/>
              </w:rPr>
              <w:t>以“智慧精准服务”为目标，进一步提升群众获得感、幸福感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8</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仿宋_GB2312" w:cs="Times New Roman"/>
                <w:b/>
                <w:bCs/>
                <w:color w:val="auto"/>
                <w:spacing w:val="0"/>
                <w:sz w:val="32"/>
                <w:szCs w:val="32"/>
                <w:lang w:val="en-US" w:eastAsia="zh-CN"/>
              </w:rPr>
            </w:pPr>
            <w:r>
              <w:rPr>
                <w:rFonts w:hint="default" w:ascii="Times New Roman" w:hAnsi="Times New Roman" w:eastAsia="宋体" w:cs="Times New Roman"/>
                <w:b/>
                <w:bCs/>
                <w:color w:val="auto"/>
                <w:kern w:val="0"/>
                <w:sz w:val="24"/>
                <w:szCs w:val="24"/>
                <w:lang w:val="zh-CN" w:eastAsia="zh-CN"/>
              </w:rPr>
              <w:t>持续推进网上市民大厅与实体大厅的深度融合。</w:t>
            </w:r>
          </w:p>
        </w:tc>
        <w:tc>
          <w:tcPr>
            <w:tcW w:w="7061"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default" w:ascii="Times New Roman" w:hAnsi="Times New Roman" w:eastAsia="仿宋_GB2312" w:cs="Times New Roman"/>
                <w:b w:val="0"/>
                <w:color w:val="auto"/>
                <w:spacing w:val="0"/>
                <w:kern w:val="2"/>
                <w:sz w:val="24"/>
                <w:szCs w:val="24"/>
                <w:lang w:val="en-US" w:eastAsia="zh-CN" w:bidi="ar-SA"/>
              </w:rPr>
            </w:pPr>
            <w:r>
              <w:rPr>
                <w:rFonts w:hint="default" w:ascii="Times New Roman" w:hAnsi="Times New Roman" w:eastAsia="仿宋_GB2312" w:cs="Times New Roman"/>
                <w:b w:val="0"/>
                <w:color w:val="auto"/>
                <w:spacing w:val="0"/>
                <w:kern w:val="2"/>
                <w:sz w:val="24"/>
                <w:szCs w:val="24"/>
                <w:lang w:val="zh-CN" w:eastAsia="zh-CN" w:bidi="ar-SA"/>
              </w:rPr>
              <w:t>扎实推进网上办、集中批、区域评、代办制、不见面落地见效，力争2018年</w:t>
            </w:r>
            <w:r>
              <w:rPr>
                <w:rFonts w:hint="default" w:ascii="Times New Roman" w:hAnsi="Times New Roman" w:eastAsia="仿宋_GB2312" w:cs="Times New Roman"/>
                <w:b w:val="0"/>
                <w:color w:val="auto"/>
                <w:spacing w:val="0"/>
                <w:kern w:val="2"/>
                <w:sz w:val="24"/>
                <w:szCs w:val="24"/>
                <w:lang w:val="en-US" w:eastAsia="zh-CN" w:bidi="ar-SA"/>
              </w:rPr>
              <w:t>6月</w:t>
            </w:r>
            <w:r>
              <w:rPr>
                <w:rFonts w:hint="default" w:ascii="Times New Roman" w:hAnsi="Times New Roman" w:eastAsia="仿宋_GB2312" w:cs="Times New Roman"/>
                <w:b w:val="0"/>
                <w:color w:val="auto"/>
                <w:spacing w:val="0"/>
                <w:kern w:val="2"/>
                <w:sz w:val="24"/>
                <w:szCs w:val="24"/>
                <w:lang w:val="zh-CN" w:eastAsia="zh-CN" w:bidi="ar-SA"/>
              </w:rPr>
              <w:t>底前市民大厅</w:t>
            </w:r>
            <w:r>
              <w:rPr>
                <w:rFonts w:hint="default" w:ascii="Times New Roman" w:hAnsi="Times New Roman" w:eastAsia="仿宋_GB2312" w:cs="Times New Roman"/>
                <w:b w:val="0"/>
                <w:color w:val="auto"/>
                <w:spacing w:val="0"/>
                <w:kern w:val="2"/>
                <w:sz w:val="24"/>
                <w:szCs w:val="24"/>
                <w:lang w:val="en-US" w:eastAsia="zh-CN" w:bidi="ar-SA"/>
              </w:rPr>
              <w:t>8</w:t>
            </w:r>
            <w:r>
              <w:rPr>
                <w:rFonts w:hint="default" w:ascii="Times New Roman" w:hAnsi="Times New Roman" w:eastAsia="仿宋_GB2312" w:cs="Times New Roman"/>
                <w:b w:val="0"/>
                <w:color w:val="auto"/>
                <w:spacing w:val="0"/>
                <w:kern w:val="2"/>
                <w:sz w:val="24"/>
                <w:szCs w:val="24"/>
                <w:lang w:val="zh-CN" w:eastAsia="zh-CN" w:bidi="ar-SA"/>
              </w:rPr>
              <w:t>0%进厅事项可不见面办理，大力倡导“网上办、快递送”，全面提升政务服务事项“网办率”。</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运行监管处   </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6"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color w:val="auto"/>
                <w:kern w:val="0"/>
                <w:sz w:val="24"/>
                <w:szCs w:val="24"/>
                <w:lang w:val="zh-CN"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zh-CN" w:eastAsia="zh-CN"/>
              </w:rPr>
            </w:pPr>
            <w:r>
              <w:rPr>
                <w:rFonts w:hint="default" w:ascii="Times New Roman" w:hAnsi="Times New Roman" w:eastAsia="仿宋_GB2312" w:cs="Times New Roman"/>
                <w:b w:val="0"/>
                <w:color w:val="auto"/>
                <w:spacing w:val="0"/>
                <w:kern w:val="2"/>
                <w:sz w:val="24"/>
                <w:szCs w:val="24"/>
                <w:lang w:val="zh-CN" w:eastAsia="zh-CN" w:bidi="ar-SA"/>
              </w:rPr>
              <w:t>充分运用互联网思维，加快建设多点登陆、单点查询的“网上市民大厅”，扩充“中介超市”模块功能，增加网上中介机构类型、数量和服务内容，为办事人和中介机构搭建网上办事渠道；结合“投资大厅”、“商事大厅”建设，强化系统“并联审批”“一窗受理”功能，最终实现“多评合一、多验合一、多图联审”的新模式；优化审管互动、云证照、黑名单等功能模块，保证各类业务正常办理，实现信息共享。</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网络技术处业务督办处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val="0"/>
                <w:bCs/>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4"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9</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zh-CN" w:eastAsia="zh-CN"/>
              </w:rPr>
              <w:t>进一步规范完善制度建设工作</w:t>
            </w:r>
            <w:r>
              <w:rPr>
                <w:rFonts w:hint="default" w:ascii="Times New Roman" w:hAnsi="Times New Roman" w:cs="Times New Roman"/>
                <w:b/>
                <w:bCs/>
                <w:color w:val="auto"/>
                <w:kern w:val="0"/>
                <w:sz w:val="24"/>
                <w:szCs w:val="24"/>
                <w:lang w:val="zh-CN" w:eastAsia="zh-CN"/>
              </w:rPr>
              <w:t>。</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zh-CN" w:eastAsia="zh-CN" w:bidi="ar-SA"/>
              </w:rPr>
              <w:t>以制度建设为抓手，细化大厅管理制度、修订完善绩效考评办法，形成正向激励和反向鞭策机制。</w:t>
            </w:r>
            <w:r>
              <w:rPr>
                <w:rFonts w:hint="default" w:ascii="Times New Roman" w:hAnsi="Times New Roman" w:eastAsia="仿宋_GB2312" w:cs="Times New Roman"/>
                <w:b w:val="0"/>
                <w:color w:val="auto"/>
                <w:spacing w:val="0"/>
                <w:kern w:val="2"/>
                <w:sz w:val="24"/>
                <w:szCs w:val="24"/>
                <w:lang w:val="en-US" w:eastAsia="zh-CN" w:bidi="ar-SA"/>
              </w:rPr>
              <w:t>建立健全行政审批责任制度，严格责任追究，奖惩激励并重。</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综合处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 运行监管处   业务督办处监察室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安全保障处   政策法规和 宣传处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李建荣      齐文胜   强  娟  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1"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10</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zh-CN" w:eastAsia="zh-CN"/>
              </w:rPr>
              <w:t>提升整体服务标准。</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优化综合服务窗口、“潮汐窗口”，提升快件直办、预约服务水平，建立总导办台轮岗机制。</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sz w:val="24"/>
                <w:szCs w:val="24"/>
                <w:vertAlign w:val="baseline"/>
                <w:lang w:eastAsia="zh-CN"/>
              </w:rPr>
              <w:t>运行监管处业务督办处</w:t>
            </w:r>
            <w:r>
              <w:rPr>
                <w:rFonts w:hint="default" w:ascii="Times New Roman" w:hAnsi="Times New Roman" w:cs="Times New Roman"/>
                <w:b/>
                <w:bCs w:val="0"/>
                <w:color w:val="auto"/>
                <w:spacing w:val="0"/>
                <w:sz w:val="24"/>
                <w:szCs w:val="24"/>
                <w:vertAlign w:val="baseline"/>
                <w:lang w:val="en-US" w:eastAsia="zh-CN"/>
              </w:rPr>
              <w:t xml:space="preserve">  </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val="0"/>
                <w:color w:val="auto"/>
                <w:spacing w:val="0"/>
                <w:sz w:val="24"/>
                <w:szCs w:val="24"/>
                <w:vertAlign w:val="baseline"/>
                <w:lang w:eastAsia="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sz w:val="24"/>
                <w:szCs w:val="24"/>
                <w:vertAlign w:val="baseline"/>
                <w:lang w:eastAsia="zh-CN"/>
              </w:rPr>
              <w:t>马</w:t>
            </w:r>
            <w:r>
              <w:rPr>
                <w:rFonts w:hint="default" w:ascii="Times New Roman" w:hAnsi="Times New Roman" w:cs="Times New Roman"/>
                <w:b/>
                <w:bCs w:val="0"/>
                <w:color w:val="auto"/>
                <w:spacing w:val="0"/>
                <w:sz w:val="24"/>
                <w:szCs w:val="24"/>
                <w:vertAlign w:val="baseline"/>
                <w:lang w:val="en-US" w:eastAsia="zh-CN"/>
              </w:rPr>
              <w:t xml:space="preserve">  </w:t>
            </w:r>
            <w:r>
              <w:rPr>
                <w:rFonts w:hint="default" w:ascii="Times New Roman" w:hAnsi="Times New Roman" w:cs="Times New Roman"/>
                <w:b/>
                <w:bCs w:val="0"/>
                <w:color w:val="auto"/>
                <w:spacing w:val="0"/>
                <w:sz w:val="24"/>
                <w:szCs w:val="24"/>
                <w:vertAlign w:val="baseline"/>
                <w:lang w:eastAsia="zh-CN"/>
              </w:rPr>
              <w:t>斌</w:t>
            </w:r>
            <w:r>
              <w:rPr>
                <w:rFonts w:hint="default" w:ascii="Times New Roman" w:hAnsi="Times New Roman" w:cs="Times New Roman"/>
                <w:b/>
                <w:bCs w:val="0"/>
                <w:color w:val="auto"/>
                <w:spacing w:val="0"/>
                <w:sz w:val="24"/>
                <w:szCs w:val="24"/>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9"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zh-CN"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开展政务服务第三方评价，通过向服务对象进行问卷调查、电话调查等方式，积极回应群众、企业需求</w:t>
            </w:r>
            <w:r>
              <w:rPr>
                <w:rFonts w:hint="eastAsia" w:ascii="Times New Roman" w:hAnsi="Times New Roman" w:eastAsia="仿宋_GB2312" w:cs="Times New Roman"/>
                <w:b w:val="0"/>
                <w:color w:val="auto"/>
                <w:spacing w:val="0"/>
                <w:kern w:val="2"/>
                <w:sz w:val="24"/>
                <w:szCs w:val="24"/>
                <w:lang w:val="en-US" w:eastAsia="zh-CN" w:bidi="ar-SA"/>
              </w:rPr>
              <w:t>。</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监察室</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sz w:val="24"/>
                <w:szCs w:val="24"/>
                <w:vertAlign w:val="baseline"/>
                <w:lang w:eastAsia="zh-CN"/>
              </w:rPr>
            </w:pPr>
            <w:r>
              <w:rPr>
                <w:rFonts w:hint="default" w:ascii="Times New Roman" w:hAnsi="Times New Roman" w:eastAsia="宋体" w:cs="Times New Roman"/>
                <w:b/>
                <w:bCs w:val="0"/>
                <w:color w:val="auto"/>
                <w:spacing w:val="0"/>
                <w:sz w:val="24"/>
                <w:szCs w:val="24"/>
                <w:vertAlign w:val="baseline"/>
                <w:lang w:eastAsia="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sz w:val="24"/>
                <w:szCs w:val="24"/>
                <w:vertAlign w:val="baseline"/>
                <w:lang w:eastAsia="zh-CN"/>
              </w:rPr>
            </w:pPr>
            <w:r>
              <w:rPr>
                <w:rFonts w:hint="default" w:ascii="Times New Roman" w:hAnsi="Times New Roman" w:cs="Times New Roman"/>
                <w:b/>
                <w:bCs w:val="0"/>
                <w:color w:val="auto"/>
                <w:spacing w:val="0"/>
                <w:sz w:val="24"/>
                <w:szCs w:val="24"/>
                <w:vertAlign w:val="baseline"/>
                <w:lang w:eastAsia="zh-CN"/>
              </w:rPr>
              <w:t>齐文胜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11</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升级大厅办事环境。</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提升市民大厅综合服务功能，加强智能化应用，扩大网上办事区域，实现大厅4Gwifi免费网络全覆盖。升级排队叫号系统，实现身份验证、网上预约功能。提高市民大厅触摸屏、党建屏、电子屏的使用效果</w:t>
            </w:r>
            <w:r>
              <w:rPr>
                <w:rFonts w:hint="eastAsia" w:ascii="Times New Roman" w:hAnsi="Times New Roman" w:eastAsia="仿宋_GB2312" w:cs="Times New Roman"/>
                <w:b w:val="0"/>
                <w:color w:val="auto"/>
                <w:spacing w:val="0"/>
                <w:kern w:val="2"/>
                <w:sz w:val="24"/>
                <w:szCs w:val="24"/>
                <w:lang w:val="en-US" w:eastAsia="zh-CN" w:bidi="ar-SA"/>
              </w:rPr>
              <w:t>。</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运行监管处网络技术处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 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1"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b w:val="0"/>
                <w:color w:val="auto"/>
                <w:spacing w:val="0"/>
                <w:kern w:val="2"/>
                <w:sz w:val="24"/>
                <w:szCs w:val="24"/>
                <w:lang w:val="en-US" w:eastAsia="zh-CN" w:bidi="ar-SA"/>
              </w:rPr>
              <w:t>完善四级巡防体系，升级各类安防监控设施，提升周边绿化环境，进一步提升市民的幸福感。</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安全保障处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李建荣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五</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en-US" w:eastAsia="zh-CN"/>
              </w:rPr>
              <w:t>以“互联网+”为支撑，全面推进“不见面”审批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12</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zh-CN" w:eastAsia="zh-CN"/>
              </w:rPr>
              <w:t>扩展手机APP功能。</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多方借鉴外省市经验做法，充分应用大数据、信息共享技术，除具备网上办理审批事项功能外，继续扩展系统功能，汇集医疗、教育、旅游、交通、各类缴费等多种便民服务于一体，市民在一个平台上即可查询、办理各类事项，逐步将“银川政务掌上通”（手机APP）打造成为银川的新名片。</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3"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13</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继续完善微信服务平台功能。</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积极对接进驻市民大厅部门，扩大微信服务平台服务功能和应用范围，实现信息发布、微矩阵展示、微信预约、便捷查询等功能，打造“口袋版”政务服务平台。</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7"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14</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建设“24小时政务服务自助终端”。</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采取市场化运营方式，构建“24小时”全天候、多领域、智慧型、精品化、不打烊的自助服务体系，做好与医保、社保、公积金、水电气等便民服务系统的对接，努力实现一台终端机办理多项服务事项的目标，形成15分钟高效便民服务圈，逐步实现便民自助服务基层全覆盖。</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2"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15</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推进“网上市民大厅”与“政务云”对接</w:t>
            </w:r>
            <w:r>
              <w:rPr>
                <w:rFonts w:hint="default" w:ascii="Times New Roman" w:hAnsi="Times New Roman" w:cs="Times New Roman"/>
                <w:b/>
                <w:bCs/>
                <w:color w:val="auto"/>
                <w:kern w:val="0"/>
                <w:sz w:val="24"/>
                <w:szCs w:val="24"/>
                <w:lang w:val="en-US" w:eastAsia="zh-CN"/>
              </w:rPr>
              <w:t>。</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共同协调促进与自治区“政务云”系统共用联通事宜，推进政务服务跨区域、跨层级式联通，实现统一身份认证、信息资源共享、证照互用和业务协同办理，逐渐形成“不出证照、数据验证”的审管服务体制，打造全区通办的审批模式。</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6"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16</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利用大数据，做好市民大厅运行分析。</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对市民大厅办理事项、网上审批、服务效率、人流量等运行情况进行综合分析；积极探索人脸识别、身份读取、数据监控等技术在审批业务中的实施应用，通过提升信息化技术手段，促进政务服务效率的提高。</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运行监管处   网络技术处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六</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en-US" w:eastAsia="zh-CN"/>
              </w:rPr>
              <w:t>以审批标准化建设为手段，推进一体化进程</w:t>
            </w:r>
            <w:r>
              <w:rPr>
                <w:rFonts w:hint="default" w:ascii="Times New Roman" w:hAnsi="Times New Roman" w:cs="Times New Roman"/>
                <w:b/>
                <w:bCs/>
                <w:color w:val="auto"/>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7"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17</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启动“社会管理和公共服务综合标准化试点项目”</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制定出台《银川市政务服务标准化建设实施方案》，通过建立审批事项、审批流程、审批服务、监督考核、服务场所、人员管理、后勤保障七大项标准化制度，建立涵盖政务服务“全要素”的标准化体系，约束行政审批权，规范自由裁量权，推进审批可预期、可操作、可验证、可考核、可监督，为企业提供规范、透明、高效的政府办事服务。</w:t>
            </w:r>
          </w:p>
        </w:tc>
        <w:tc>
          <w:tcPr>
            <w:tcW w:w="154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运行监管处</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9"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18</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加强对县（市）区政务服务工作指导，统筹推进一体化发展。</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加强对县（市）区政务服务工作指导，修订县（市）区政务服务工作考核办法，统筹推进一体化发展。统一基层政务服务事项，形成四级连通的一体化政务服务体系，打通服务群众最后“一公里”。</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运行监管处监察室    </w:t>
            </w:r>
          </w:p>
        </w:tc>
        <w:tc>
          <w:tcPr>
            <w:tcW w:w="1569" w:type="dxa"/>
            <w:gridSpan w:val="2"/>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马  斌  齐文胜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left"/>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七</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zh-CN" w:eastAsia="zh-CN"/>
              </w:rPr>
              <w:t>以提升项目建设服务质量为关键，促进投资环境进一步优化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1"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19</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深入推进“一会四服务”工作。</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进一步扎实开展“靠前服务、上门服务、导向服务、精准服务”，在年初将投资计划内项目分解到专人，实时掌握项目前期动态，将相关政策信息的宣解及项目服务从大厅窗口向前延伸到项目单位、施工现场，帮助项目单位梳理前期工作思路，科学合理制定工作计划，及时办理前期手续，进一步发挥桥梁纽带作用，及时组织召开项目审批工作联席会，密切协调规划、国土等相关职能部门及项目建设单位、设计单位、审核单位，切实帮助项目单位解决实际困难和问题。</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立项审查处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刘艳峰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20</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zh-CN" w:eastAsia="zh-CN"/>
              </w:rPr>
              <w:t>建立工业项目O2O全程帮办服务机制。</w:t>
            </w:r>
          </w:p>
        </w:tc>
        <w:tc>
          <w:tcPr>
            <w:tcW w:w="7061" w:type="dxa"/>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both"/>
              <w:textAlignment w:val="auto"/>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zh-CN" w:eastAsia="zh-CN"/>
              </w:rPr>
              <w:t>制定《工业项目</w:t>
            </w:r>
            <w:r>
              <w:rPr>
                <w:rFonts w:hint="default" w:ascii="Times New Roman" w:hAnsi="Times New Roman" w:eastAsia="仿宋_GB2312" w:cs="Times New Roman"/>
                <w:color w:val="auto"/>
                <w:sz w:val="24"/>
                <w:szCs w:val="24"/>
                <w:lang w:val="en-US" w:eastAsia="zh-CN"/>
              </w:rPr>
              <w:t>O2O服务实施方案</w:t>
            </w:r>
            <w:r>
              <w:rPr>
                <w:rFonts w:hint="default" w:ascii="Times New Roman" w:hAnsi="Times New Roman" w:eastAsia="仿宋_GB2312" w:cs="Times New Roman"/>
                <w:color w:val="auto"/>
                <w:sz w:val="24"/>
                <w:szCs w:val="24"/>
                <w:lang w:val="zh-CN" w:eastAsia="zh-CN"/>
              </w:rPr>
              <w:t>》，</w:t>
            </w:r>
            <w:r>
              <w:rPr>
                <w:rFonts w:hint="default" w:ascii="Times New Roman" w:hAnsi="Times New Roman" w:eastAsia="仿宋_GB2312" w:cs="Times New Roman"/>
                <w:color w:val="auto"/>
                <w:sz w:val="24"/>
                <w:szCs w:val="24"/>
                <w:lang w:val="en-US" w:eastAsia="zh-CN"/>
              </w:rPr>
              <w:t>打造工业项目审批快速通道，实现对工业项目审批的全程帮办、过程助推和问题帮扶，实现企业事项办理不出园区。</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企业项目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服务处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刘艳峰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21</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推进勘验智慧精准化服务。</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实现现场勘验全程电子化，勘验安排实时推送、电子化留存，通过升级手机APP实现勘验结果无纸化填报；拓展视频勘验方式、范围，提高勘验效率。</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勘查验收处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22</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实施便民寄送服务。</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与快递部门对接，采取市场化运营方式，协商办件结果邮寄事宜，实施邮递系统对接，免费为办事人寄送办件结果；启用电子文件柜，实现24小时随时自助取件，助推“不见面、马上办”工作实施。</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网络技术处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八</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eastAsia="宋体" w:cs="Times New Roman"/>
                <w:b/>
                <w:bCs w:val="0"/>
                <w:color w:val="auto"/>
                <w:spacing w:val="0"/>
                <w:kern w:val="0"/>
                <w:sz w:val="28"/>
                <w:szCs w:val="28"/>
                <w:lang w:val="en-US" w:eastAsia="zh-CN" w:bidi="zh-CN"/>
              </w:rPr>
            </w:pPr>
            <w:r>
              <w:rPr>
                <w:rFonts w:hint="default" w:ascii="Times New Roman" w:hAnsi="Times New Roman" w:eastAsia="宋体" w:cs="Times New Roman"/>
                <w:b/>
                <w:bCs/>
                <w:color w:val="auto"/>
                <w:kern w:val="0"/>
                <w:sz w:val="24"/>
                <w:szCs w:val="24"/>
                <w:lang w:val="en-US" w:eastAsia="zh-CN"/>
              </w:rPr>
              <w:t>以政务服务信用体系建设为基石，营造公平公正的办事环境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23</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推进审管互动，强化事中事后监管。</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建立数据互推机制，规范审管互动内容；优化“审管互动平台”，切实提高监管效能；积极连通银川市和自治区部分业务厅局的共用垂管系统，与自治区政务云对接，实现与自治区“信用宁夏”“企业信用信息平台”和银川市“信用信息平台”数据对接，为监管部门实施事中事后监管、执法提供必要的依据，建立与监管部门的联席会议制度，定期通报许可、监管过程存在的问题，加强互通互信，积极化解矛盾和争议。</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网络技术处运行监管处  </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马  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提高信息化监管水平，完善行政审批电子监控系统，拓宽电子监察范围；建立跟踪投诉处理机制，加强投诉数据整理分析，对有多次投诉或服务对象多次评价差的监管对象实行预警机制，并及时开展专项检查。</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监察室 </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齐文胜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24</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加强政务服务系统社会信用体系建设。</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不定期公开政务服务对象失信行为“黑名单”，严厉打击虚假注册。将“黑名单”与零门槛承诺制相结合，梳理“零门槛”准入事项，降低企业准入门槛，建立与监管部门联席会议制度，强化“审管互动”，定期通报许可、监管过程存在的问题，营造宽松平等的准入环境，营造法治化、便利化的营商环境。</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政策法规和宣传处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25</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cs="Times New Roman"/>
                <w:b/>
                <w:bCs/>
                <w:color w:val="auto"/>
                <w:kern w:val="0"/>
                <w:sz w:val="24"/>
                <w:szCs w:val="24"/>
                <w:lang w:val="en-US" w:eastAsia="zh-CN"/>
              </w:rPr>
              <w:t>大力推广</w:t>
            </w:r>
            <w:r>
              <w:rPr>
                <w:rFonts w:hint="default" w:ascii="Times New Roman" w:hAnsi="Times New Roman" w:eastAsia="宋体" w:cs="Times New Roman"/>
                <w:b/>
                <w:bCs/>
                <w:color w:val="auto"/>
                <w:kern w:val="0"/>
                <w:sz w:val="24"/>
                <w:szCs w:val="24"/>
                <w:lang w:val="en-US" w:eastAsia="zh-CN"/>
              </w:rPr>
              <w:t>零门槛承诺制。</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制定《银川市行政审批零门槛承诺制实施方案》。探索建立以公民身份证号码或企业统一社会信用代码作为唯一标识，个人或企业签署承诺书后，即可办成一揽子事的机制，压实企业主体责任，尝试探索简易化审批。</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业务督办处企业项目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服务处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刘艳峰  马  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26</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严厉打击虚假注册。</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建立与法院、公安、市场监管、金融、税务等部门的常态化合作机制，预防和打击虚假注册行为。</w:t>
            </w:r>
          </w:p>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4"/>
                <w:szCs w:val="24"/>
                <w:lang w:val="en-US" w:eastAsia="zh-CN"/>
              </w:rPr>
            </w:pP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市场服务一、二处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各相关处室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方国泉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val="0"/>
                <w:color w:val="auto"/>
                <w:spacing w:val="0"/>
                <w:kern w:val="0"/>
                <w:sz w:val="20"/>
                <w:szCs w:val="20"/>
                <w:lang w:val="en-US" w:eastAsia="zh-CN" w:bidi="zh-CN"/>
              </w:rPr>
              <w:t>（</w:t>
            </w:r>
            <w:r>
              <w:rPr>
                <w:rFonts w:hint="default" w:ascii="Times New Roman" w:hAnsi="Times New Roman" w:cs="Times New Roman"/>
                <w:b/>
                <w:bCs w:val="0"/>
                <w:color w:val="auto"/>
                <w:spacing w:val="0"/>
                <w:kern w:val="0"/>
                <w:sz w:val="20"/>
                <w:szCs w:val="20"/>
                <w:lang w:val="en-US" w:eastAsia="zh-CN" w:bidi="zh-CN"/>
              </w:rPr>
              <w:t>九</w:t>
            </w:r>
            <w:r>
              <w:rPr>
                <w:rFonts w:hint="default" w:ascii="Times New Roman" w:hAnsi="Times New Roman" w:eastAsia="宋体" w:cs="Times New Roman"/>
                <w:b/>
                <w:bCs w:val="0"/>
                <w:color w:val="auto"/>
                <w:spacing w:val="0"/>
                <w:kern w:val="0"/>
                <w:sz w:val="20"/>
                <w:szCs w:val="20"/>
                <w:lang w:val="en-US" w:eastAsia="zh-CN" w:bidi="zh-CN"/>
              </w:rPr>
              <w:t>）</w:t>
            </w:r>
          </w:p>
        </w:tc>
        <w:tc>
          <w:tcPr>
            <w:tcW w:w="13611"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eastAsia="宋体" w:cs="Times New Roman"/>
                <w:b/>
                <w:bCs/>
                <w:color w:val="auto"/>
                <w:kern w:val="0"/>
                <w:sz w:val="24"/>
                <w:szCs w:val="24"/>
                <w:lang w:val="en-US" w:eastAsia="zh-CN"/>
              </w:rPr>
              <w:t>以“尚德善学、务实创新”为核心，打造市民大厅文化品牌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8"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27</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集中力量开展市民大厅文化品牌建设。</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在全大厅征集2018年文化品牌主题，制定创建实施方案；通过合理布局市民大厅功能分区，建设市民大厅文化长廊，统筹开展一些列主题活动，凝聚工作力量，激发团队活力。例如加强与区市图书馆合作，推进“书香”大厅建设；以精准化服务，精细化管理为抓手，烘托市民大厅文化氛围，以“尚德善学、务实创新”工作理念，“亲切阳光，贴心高效”的服务理念，深入“超五星级”市民大厅建设。</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政策法规和 宣传处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6" w:hRule="atLeast"/>
        </w:trPr>
        <w:tc>
          <w:tcPr>
            <w:tcW w:w="731" w:type="dxa"/>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28</w:t>
            </w:r>
          </w:p>
        </w:tc>
        <w:tc>
          <w:tcPr>
            <w:tcW w:w="20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强化“工青妇”作用。</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落实“阳光 快乐”工作年活动。不</w:t>
            </w:r>
            <w:bookmarkStart w:id="1" w:name="_GoBack"/>
            <w:bookmarkEnd w:id="1"/>
            <w:r>
              <w:rPr>
                <w:rFonts w:hint="default" w:ascii="Times New Roman" w:hAnsi="Times New Roman" w:eastAsia="仿宋_GB2312" w:cs="Times New Roman"/>
                <w:color w:val="auto"/>
                <w:sz w:val="24"/>
                <w:szCs w:val="24"/>
                <w:lang w:val="en-US" w:eastAsia="zh-CN"/>
              </w:rPr>
              <w:t>断强化群团组织建设，做好机关党委、系统妇联、团委及工会建设等工作，建立围绕核心、党群共建的工作格局，发挥好年轻干部、妇女、团员的中坚力量，建强服务平台，统筹开展活动，凝聚工作力量，激发团队活力。</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工会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团委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妇联</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强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Merge w:val="restart"/>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29</w:t>
            </w:r>
          </w:p>
        </w:tc>
        <w:tc>
          <w:tcPr>
            <w:tcW w:w="2022"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做好宣传及信息公开工作。</w:t>
            </w: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围绕党的十九大精神、自治区第十二次党代会精神和银川市委第十四届五次全会精神，坚持“绿色、高端、和谐、宜居”城市发展理念，结合我市“放管服”改革实际，组织协调中央、区、市三级媒体和运用新媒体手段，拓宽信息传播渠道，做好政策解读、新闻宣传、信息公开等工作，扩大宣传影响。形成全覆盖、全方位、全天候的舆情监测体系，即时掌握舆情动态，收集重要政务舆情信息，及时回应社会关切，发出权威声音，搭建政府与群众交流的“直通车”。全力打造“智慧精准服务年”主题宣传，加强策划，突出重点，聚焦亮点，利用“两微一端”做精传统媒体、做活新型媒体，通过全媒介唱响主旋律。</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政策法规和 宣传处     </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强  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31" w:type="dxa"/>
            <w:vMerge w:val="continue"/>
            <w:vAlign w:val="center"/>
          </w:tcPr>
          <w:p>
            <w:pPr>
              <w:keepNext w:val="0"/>
              <w:keepLines w:val="0"/>
              <w:pageBreakBefore w:val="0"/>
              <w:kinsoku/>
              <w:overflowPunct/>
              <w:topLinePunct w:val="0"/>
              <w:bidi w:val="0"/>
              <w:adjustRightInd/>
              <w:spacing w:line="620" w:lineRule="exact"/>
              <w:jc w:val="center"/>
              <w:textAlignment w:val="auto"/>
              <w:rPr>
                <w:rFonts w:hint="default" w:ascii="Times New Roman" w:hAnsi="Times New Roman" w:cs="Times New Roman"/>
                <w:b/>
                <w:bCs w:val="0"/>
                <w:color w:val="auto"/>
                <w:spacing w:val="0"/>
                <w:kern w:val="0"/>
                <w:sz w:val="24"/>
                <w:szCs w:val="24"/>
                <w:lang w:val="en-US" w:eastAsia="zh-CN" w:bidi="zh-CN"/>
              </w:rPr>
            </w:pPr>
          </w:p>
        </w:tc>
        <w:tc>
          <w:tcPr>
            <w:tcW w:w="2022"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宋体" w:cs="Times New Roman"/>
                <w:b/>
                <w:bCs/>
                <w:color w:val="auto"/>
                <w:kern w:val="0"/>
                <w:sz w:val="24"/>
                <w:szCs w:val="24"/>
                <w:lang w:val="en-US" w:eastAsia="zh-CN"/>
              </w:rPr>
            </w:pPr>
          </w:p>
        </w:tc>
        <w:tc>
          <w:tcPr>
            <w:tcW w:w="706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ind w:right="0" w:rightChars="0"/>
              <w:jc w:val="both"/>
              <w:textAlignment w:val="auto"/>
              <w:outlineLvl w:val="9"/>
              <w:rPr>
                <w:rFonts w:hint="default" w:ascii="Times New Roman" w:hAnsi="Times New Roman" w:eastAsia="仿宋_GB2312" w:cs="Times New Roman"/>
                <w:color w:val="auto"/>
                <w:sz w:val="20"/>
                <w:szCs w:val="20"/>
                <w:lang w:val="en-US" w:eastAsia="zh-CN"/>
              </w:rPr>
            </w:pPr>
            <w:r>
              <w:rPr>
                <w:rFonts w:hint="default" w:ascii="Times New Roman" w:hAnsi="Times New Roman" w:eastAsia="仿宋_GB2312" w:cs="Times New Roman"/>
                <w:color w:val="auto"/>
                <w:sz w:val="24"/>
                <w:szCs w:val="24"/>
                <w:lang w:val="en-US" w:eastAsia="zh-CN"/>
              </w:rPr>
              <w:t>加强行政审批信息公开，畅通公众投诉渠道，及时收集群众、媒体反映的服务质量、违反法律法规等投诉信息。</w:t>
            </w:r>
          </w:p>
        </w:tc>
        <w:tc>
          <w:tcPr>
            <w:tcW w:w="154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综合处</w:t>
            </w:r>
          </w:p>
        </w:tc>
        <w:tc>
          <w:tcPr>
            <w:tcW w:w="156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各处室</w:t>
            </w:r>
          </w:p>
        </w:tc>
        <w:tc>
          <w:tcPr>
            <w:tcW w:w="141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cs="Times New Roman"/>
                <w:b/>
                <w:bCs w:val="0"/>
                <w:color w:val="auto"/>
                <w:spacing w:val="0"/>
                <w:kern w:val="0"/>
                <w:sz w:val="24"/>
                <w:szCs w:val="24"/>
                <w:lang w:val="en-US" w:eastAsia="zh-CN" w:bidi="zh-CN"/>
              </w:rPr>
            </w:pPr>
            <w:r>
              <w:rPr>
                <w:rFonts w:hint="default" w:ascii="Times New Roman" w:hAnsi="Times New Roman" w:cs="Times New Roman"/>
                <w:b/>
                <w:bCs w:val="0"/>
                <w:color w:val="auto"/>
                <w:spacing w:val="0"/>
                <w:kern w:val="0"/>
                <w:sz w:val="24"/>
                <w:szCs w:val="24"/>
                <w:lang w:val="en-US" w:eastAsia="zh-CN" w:bidi="zh-CN"/>
              </w:rPr>
              <w:t xml:space="preserve">李建荣 </w:t>
            </w:r>
          </w:p>
        </w:tc>
      </w:tr>
    </w:tbl>
    <w:p>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仿宋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44EC2"/>
    <w:rsid w:val="74D44EC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2018-03-27T08:13:00Z</dcterms:created>
  <dc:creator>Administrator</dc:creator>
  <cp:lastModifiedBy>Administrator</cp:lastModifiedBy>
  <dcterms:modified xsi:type="dcterms:W3CDTF">2018-03-27T08:13:59Z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2052-10.1.0.5989</vt:lpwstr>
  </property>
</Properties>
</file>