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 HYPERLINK "http://www.shaanxi.gov.cn/wcm.files/upload/GKszfbgt/201707/20170728102406940.pdf" \t "http://www.shaanxi.gov.cn/gk/zfwj/_blank"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咸阳市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对标《全球营商环境报告》优化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提升营商环境任务分工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</w:p>
    <w:tbl>
      <w:tblPr>
        <w:tblStyle w:val="3"/>
        <w:tblW w:w="9147" w:type="dxa"/>
        <w:jc w:val="center"/>
        <w:tblInd w:w="-2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2595"/>
        <w:gridCol w:w="1575"/>
        <w:gridCol w:w="2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1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世界银行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《全球营商环境报告》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核心评价指标</w:t>
            </w:r>
          </w:p>
        </w:tc>
        <w:tc>
          <w:tcPr>
            <w:tcW w:w="69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eastAsia="zh-CN"/>
              </w:rPr>
              <w:t>我市对标</w:t>
            </w: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《全球营商环境报告》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eastAsia="zh-CN"/>
              </w:rPr>
              <w:t>核心评价指标制定工作方案分工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1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  <w:t>我市评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  <w:t>价指标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  <w:t>牵头单位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eastAsia="zh-CN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开办企业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简化企业开办和注销程序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市工商局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市级相关部门，各县市区政府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办理施工许可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简化施工许可证办理程序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市住建局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市发改委、市国土局、市环保局、市城建局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市安监局等市级相关部门，各县市区政府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获得电力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方便企业获得水电气暖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市发改委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市住建局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市水利局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、市供热燃气办、市供电局、地电集团咸阳供电分公司等市级部门单位，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登记财产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方便企业办理不动产登记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市国土局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市住建局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市级相关部门，各县市区政府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获得信贷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降低企业获得信贷难度和成本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市金融办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银监局、人行，各县市区政府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纳税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优化企业纳税服务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市国税局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市地税局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市级相关部门，各县市区政府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跨境贸易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提升企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业跨境贸易和投资便利化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市商务局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市级相关部门，各县市区政府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C7986"/>
    <w:rsid w:val="703C79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2017-11-02T07:43:00Z</dcterms:created>
  <dc:creator>刘瑜</dc:creator>
  <cp:lastModifiedBy>刘瑜</cp:lastModifiedBy>
  <dcterms:modified xsi:type="dcterms:W3CDTF">2017-11-02T07:43:52Z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