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632" w:rsidRPr="000C2632" w:rsidRDefault="000C2632" w:rsidP="000C2632">
      <w:pPr>
        <w:widowControl/>
        <w:shd w:val="clear" w:color="auto" w:fill="FFFFFF"/>
        <w:spacing w:line="400" w:lineRule="atLeast"/>
        <w:rPr>
          <w:rFonts w:ascii="微软雅黑" w:eastAsia="微软雅黑" w:hAnsi="微软雅黑" w:cs="宋体"/>
          <w:color w:val="2B2B2B"/>
          <w:kern w:val="0"/>
          <w:sz w:val="24"/>
          <w:szCs w:val="24"/>
        </w:rPr>
      </w:pPr>
      <w:r w:rsidRPr="000C2632">
        <w:rPr>
          <w:rFonts w:ascii="微软雅黑" w:eastAsia="微软雅黑" w:hAnsi="微软雅黑" w:cs="宋体" w:hint="eastAsia"/>
          <w:color w:val="2B2B2B"/>
          <w:kern w:val="0"/>
          <w:sz w:val="32"/>
          <w:szCs w:val="32"/>
        </w:rPr>
        <w:t>附件</w:t>
      </w:r>
    </w:p>
    <w:p w:rsidR="000C2632" w:rsidRPr="000C2632" w:rsidRDefault="000C2632" w:rsidP="000C2632">
      <w:pPr>
        <w:widowControl/>
        <w:shd w:val="clear" w:color="auto" w:fill="FFFFFF"/>
        <w:spacing w:line="600" w:lineRule="atLeast"/>
        <w:jc w:val="center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hyperlink r:id="rId6" w:tgtFrame="http://www.shaanxi.gov.cn/gk/zfwj/_blank" w:history="1">
        <w:r w:rsidRPr="000C2632">
          <w:rPr>
            <w:rFonts w:ascii="微软雅黑" w:eastAsia="微软雅黑" w:hAnsi="微软雅黑" w:cs="宋体" w:hint="eastAsia"/>
            <w:kern w:val="0"/>
            <w:sz w:val="44"/>
            <w:szCs w:val="44"/>
          </w:rPr>
          <w:t>乾县对标《全球营商环境报告》优化</w:t>
        </w:r>
      </w:hyperlink>
    </w:p>
    <w:p w:rsidR="000C2632" w:rsidRPr="000C2632" w:rsidRDefault="000C2632" w:rsidP="000C2632">
      <w:pPr>
        <w:widowControl/>
        <w:shd w:val="clear" w:color="auto" w:fill="FFFFFF"/>
        <w:spacing w:line="600" w:lineRule="atLeast"/>
        <w:jc w:val="center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hyperlink r:id="rId7" w:tgtFrame="http://www.shaanxi.gov.cn/gk/zfwj/_blank" w:history="1">
        <w:r w:rsidRPr="000C2632">
          <w:rPr>
            <w:rFonts w:ascii="微软雅黑" w:eastAsia="微软雅黑" w:hAnsi="微软雅黑" w:cs="宋体" w:hint="eastAsia"/>
            <w:kern w:val="0"/>
            <w:sz w:val="44"/>
            <w:szCs w:val="44"/>
          </w:rPr>
          <w:t>提升营商环境任务分工</w:t>
        </w:r>
      </w:hyperlink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3"/>
        <w:gridCol w:w="2386"/>
        <w:gridCol w:w="1469"/>
        <w:gridCol w:w="2624"/>
      </w:tblGrid>
      <w:tr w:rsidR="000C2632" w:rsidRPr="000C2632" w:rsidTr="000C2632">
        <w:trPr>
          <w:trHeight w:val="1034"/>
          <w:jc w:val="center"/>
        </w:trPr>
        <w:tc>
          <w:tcPr>
            <w:tcW w:w="218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世界银行《全球营商环境报告》核心评价指标</w:t>
            </w:r>
          </w:p>
        </w:tc>
        <w:tc>
          <w:tcPr>
            <w:tcW w:w="697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我县对标《全球营商环境报告》</w:t>
            </w:r>
          </w:p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核心评价指标制定工作方案分工</w:t>
            </w:r>
          </w:p>
        </w:tc>
      </w:tr>
      <w:tr w:rsidR="000C2632" w:rsidRPr="000C2632" w:rsidTr="000C2632">
        <w:trPr>
          <w:trHeight w:val="103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C2632" w:rsidRPr="000C2632" w:rsidRDefault="000C2632" w:rsidP="000C2632">
            <w:pPr>
              <w:widowControl/>
              <w:jc w:val="left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我县评</w:t>
            </w:r>
          </w:p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proofErr w:type="gramStart"/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价指标</w:t>
            </w:r>
            <w:proofErr w:type="gramEnd"/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牵头单位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参与单位</w:t>
            </w:r>
          </w:p>
        </w:tc>
      </w:tr>
      <w:tr w:rsidR="000C2632" w:rsidRPr="000C2632" w:rsidTr="000C2632">
        <w:trPr>
          <w:trHeight w:val="908"/>
          <w:jc w:val="center"/>
        </w:trPr>
        <w:tc>
          <w:tcPr>
            <w:tcW w:w="2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开办企业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简化企业开办和注销程序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县市场监管局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县级相关部门，各镇（办）</w:t>
            </w:r>
          </w:p>
        </w:tc>
      </w:tr>
      <w:tr w:rsidR="000C2632" w:rsidRPr="000C2632" w:rsidTr="000C2632">
        <w:trPr>
          <w:trHeight w:val="1816"/>
          <w:jc w:val="center"/>
        </w:trPr>
        <w:tc>
          <w:tcPr>
            <w:tcW w:w="2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办理施工许可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简化施工许可证办理程序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县住建局</w:t>
            </w:r>
          </w:p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proofErr w:type="gramStart"/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县发改</w:t>
            </w:r>
            <w:proofErr w:type="gramEnd"/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就、县国土局、县环保局、县住建局、县安监局等县级相关部门，镇（办）</w:t>
            </w:r>
          </w:p>
        </w:tc>
      </w:tr>
      <w:tr w:rsidR="000C2632" w:rsidRPr="000C2632" w:rsidTr="000C2632">
        <w:trPr>
          <w:trHeight w:val="1816"/>
          <w:jc w:val="center"/>
        </w:trPr>
        <w:tc>
          <w:tcPr>
            <w:tcW w:w="2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获得电力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方便企业获得水电气暖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proofErr w:type="gramStart"/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县发改局</w:t>
            </w:r>
            <w:proofErr w:type="gramEnd"/>
          </w:p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县住建局</w:t>
            </w:r>
          </w:p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县水利局、县城市管理执法局、县电力局局等县级部门单位，各镇（办）</w:t>
            </w:r>
          </w:p>
        </w:tc>
      </w:tr>
      <w:tr w:rsidR="000C2632" w:rsidRPr="000C2632" w:rsidTr="000C2632">
        <w:trPr>
          <w:trHeight w:val="1353"/>
          <w:jc w:val="center"/>
        </w:trPr>
        <w:tc>
          <w:tcPr>
            <w:tcW w:w="2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登记财产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方便企业办理不动产登记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县国土局</w:t>
            </w:r>
          </w:p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县住建局等县级相关部门，各镇（办）</w:t>
            </w:r>
          </w:p>
        </w:tc>
      </w:tr>
      <w:tr w:rsidR="000C2632" w:rsidRPr="000C2632" w:rsidTr="000C2632">
        <w:trPr>
          <w:trHeight w:val="908"/>
          <w:jc w:val="center"/>
        </w:trPr>
        <w:tc>
          <w:tcPr>
            <w:tcW w:w="2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获得信贷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降低企业获得信</w:t>
            </w: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lastRenderedPageBreak/>
              <w:t>贷难度和成本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lastRenderedPageBreak/>
              <w:t>县金融办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中国人民银行乾县</w:t>
            </w: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lastRenderedPageBreak/>
              <w:t>支行等银行，各镇（办）</w:t>
            </w:r>
          </w:p>
        </w:tc>
      </w:tr>
      <w:tr w:rsidR="000C2632" w:rsidRPr="000C2632" w:rsidTr="000C2632">
        <w:trPr>
          <w:trHeight w:val="908"/>
          <w:jc w:val="center"/>
        </w:trPr>
        <w:tc>
          <w:tcPr>
            <w:tcW w:w="2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lastRenderedPageBreak/>
              <w:t>纳税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优化企业纳税服务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县国税局</w:t>
            </w:r>
          </w:p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县地税局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县级相关部门，镇（办）</w:t>
            </w:r>
          </w:p>
        </w:tc>
      </w:tr>
      <w:tr w:rsidR="000C2632" w:rsidRPr="000C2632" w:rsidTr="000C2632">
        <w:trPr>
          <w:trHeight w:val="908"/>
          <w:jc w:val="center"/>
        </w:trPr>
        <w:tc>
          <w:tcPr>
            <w:tcW w:w="21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跨境贸易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提升企业跨境贸易和投资便利化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县商务办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632" w:rsidRPr="000C2632" w:rsidRDefault="000C2632" w:rsidP="000C2632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2B2B2B"/>
                <w:kern w:val="0"/>
                <w:sz w:val="24"/>
                <w:szCs w:val="24"/>
              </w:rPr>
            </w:pPr>
            <w:r w:rsidRPr="000C2632">
              <w:rPr>
                <w:rFonts w:ascii="宋体" w:eastAsia="宋体" w:hAnsi="宋体" w:cs="宋体"/>
                <w:color w:val="2B2B2B"/>
                <w:kern w:val="0"/>
                <w:sz w:val="28"/>
                <w:szCs w:val="28"/>
              </w:rPr>
              <w:t>县级相关部门，镇（办）</w:t>
            </w:r>
          </w:p>
        </w:tc>
      </w:tr>
    </w:tbl>
    <w:p w:rsidR="00226BCB" w:rsidRPr="000C2632" w:rsidRDefault="00226BCB" w:rsidP="000C2632">
      <w:bookmarkStart w:id="0" w:name="_GoBack"/>
      <w:bookmarkEnd w:id="0"/>
    </w:p>
    <w:sectPr w:rsidR="00226BCB" w:rsidRPr="000C26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C7986"/>
    <w:rsid w:val="000C2632"/>
    <w:rsid w:val="00226BCB"/>
    <w:rsid w:val="703C7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C26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0C263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C26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0C26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94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shaanxi.gov.cn/wcm.files/upload/GKszfbgt/201707/20170728102406940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shaanxi.gov.cn/wcm.files/upload/GKszfbgt/201707/20170728102406940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刘瑜</dc:creator>
  <cp:lastModifiedBy>LTM</cp:lastModifiedBy>
  <cp:revision>2</cp:revision>
  <dcterms:created xsi:type="dcterms:W3CDTF">2017-11-02T07:43:00Z</dcterms:created>
  <dcterms:modified xsi:type="dcterms:W3CDTF">2018-05-14T06:20:00Z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