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pStyle w:val="Heading1"/>
        <w:spacing w:line="293" w:lineRule="exact" w:before="145"/>
        <w:ind w:left="289" w:right="0"/>
        <w:jc w:val="left"/>
        <w:rPr>
          <w:rFonts w:ascii="微软雅黑" w:hAnsi="微软雅黑" w:cs="微软雅黑" w:eastAsia="微软雅黑"/>
        </w:rPr>
      </w:pPr>
      <w:r>
        <w:rPr/>
        <w:pict>
          <v:group style="position:absolute;margin-left:550.062988pt;margin-top:-23.521038pt;width:45.25pt;height:25.85pt;mso-position-horizontal-relative:page;mso-position-vertical-relative:paragraph;z-index:1096" coordorigin="11001,-470" coordsize="905,517">
            <v:shape style="position:absolute;left:11001;top:-470;width:905;height:517" coordorigin="11001,-470" coordsize="905,517" path="m11001,46l11906,46,11906,-470,11001,-470,11001,46e" filled="false" stroked="true" strokeweight=".283pt" strokecolor="#e9ddd1">
              <v:path arrowok="t"/>
            </v:shape>
            <w10:wrap type="none"/>
          </v:group>
        </w:pict>
      </w:r>
      <w:r>
        <w:rPr>
          <w:rFonts w:ascii="微软雅黑"/>
          <w:color w:val="00AEEF"/>
        </w:rPr>
        <w:t>BUSINESS</w:t>
      </w:r>
      <w:r>
        <w:rPr>
          <w:rFonts w:ascii="微软雅黑"/>
          <w:color w:val="00AEEF"/>
          <w:spacing w:val="-2"/>
        </w:rPr>
        <w:t> </w:t>
      </w:r>
      <w:r>
        <w:rPr>
          <w:rFonts w:ascii="微软雅黑"/>
          <w:color w:val="00AEEF"/>
          <w:spacing w:val="-3"/>
        </w:rPr>
        <w:t>CULTURE</w:t>
      </w:r>
      <w:r>
        <w:rPr>
          <w:rFonts w:ascii="微软雅黑"/>
        </w:rPr>
      </w:r>
    </w:p>
    <w:p>
      <w:pPr>
        <w:spacing w:line="293" w:lineRule="exact" w:before="0"/>
        <w:ind w:left="289" w:right="0" w:firstLine="0"/>
        <w:jc w:val="left"/>
        <w:rPr>
          <w:rFonts w:ascii="微软雅黑" w:hAnsi="微软雅黑" w:cs="微软雅黑" w:eastAsia="微软雅黑"/>
          <w:sz w:val="20"/>
          <w:szCs w:val="20"/>
        </w:rPr>
      </w:pPr>
      <w:r>
        <w:rPr>
          <w:rFonts w:ascii="微软雅黑" w:hAnsi="微软雅黑" w:cs="微软雅黑" w:eastAsia="微软雅黑"/>
          <w:color w:val="00AEEF"/>
          <w:sz w:val="20"/>
          <w:szCs w:val="20"/>
        </w:rPr>
        <w:t>FOCUSING MIRROR .</w:t>
      </w:r>
      <w:r>
        <w:rPr>
          <w:rFonts w:ascii="微软雅黑" w:hAnsi="微软雅黑" w:cs="微软雅黑" w:eastAsia="微软雅黑"/>
          <w:color w:val="00AEEF"/>
          <w:spacing w:val="-3"/>
          <w:sz w:val="20"/>
          <w:szCs w:val="20"/>
        </w:rPr>
        <w:t> </w:t>
      </w:r>
      <w:r>
        <w:rPr>
          <w:rFonts w:ascii="微软雅黑" w:hAnsi="微软雅黑" w:cs="微软雅黑" w:eastAsia="微软雅黑"/>
          <w:color w:val="00AEEF"/>
          <w:sz w:val="20"/>
          <w:szCs w:val="20"/>
        </w:rPr>
        <w:t>聚焦镜</w:t>
      </w:r>
      <w:r>
        <w:rPr>
          <w:rFonts w:ascii="微软雅黑" w:hAnsi="微软雅黑" w:cs="微软雅黑" w:eastAsia="微软雅黑"/>
          <w:sz w:val="20"/>
          <w:szCs w:val="20"/>
        </w:rPr>
      </w:r>
    </w:p>
    <w:p>
      <w:pPr>
        <w:spacing w:line="240" w:lineRule="auto" w:before="0"/>
        <w:rPr>
          <w:rFonts w:ascii="微软雅黑" w:hAnsi="微软雅黑" w:cs="微软雅黑" w:eastAsia="微软雅黑"/>
          <w:sz w:val="20"/>
          <w:szCs w:val="20"/>
        </w:rPr>
      </w:pPr>
    </w:p>
    <w:p>
      <w:pPr>
        <w:spacing w:line="240" w:lineRule="auto" w:before="14"/>
        <w:rPr>
          <w:rFonts w:ascii="微软雅黑" w:hAnsi="微软雅黑" w:cs="微软雅黑" w:eastAsia="微软雅黑"/>
          <w:sz w:val="18"/>
          <w:szCs w:val="18"/>
        </w:rPr>
      </w:pPr>
    </w:p>
    <w:p>
      <w:pPr>
        <w:tabs>
          <w:tab w:pos="2871" w:val="left" w:leader="none"/>
          <w:tab w:pos="11792" w:val="left" w:leader="none"/>
        </w:tabs>
        <w:spacing w:line="702" w:lineRule="exact" w:before="0"/>
        <w:ind w:left="0" w:right="0" w:firstLine="0"/>
        <w:jc w:val="left"/>
        <w:rPr>
          <w:rFonts w:ascii="Times New Roman" w:hAnsi="Times New Roman" w:cs="Times New Roman" w:eastAsia="Times New Roman"/>
          <w:sz w:val="60"/>
          <w:szCs w:val="60"/>
        </w:rPr>
      </w:pPr>
      <w:r>
        <w:rPr>
          <w:rFonts w:ascii="Times New Roman" w:hAnsi="Times New Roman" w:cs="Times New Roman" w:eastAsia="Times New Roman"/>
          <w:color w:val="FFFFFF"/>
          <w:w w:val="76"/>
          <w:sz w:val="60"/>
          <w:szCs w:val="60"/>
        </w:rPr>
      </w:r>
      <w:r>
        <w:rPr>
          <w:rFonts w:ascii="Times New Roman" w:hAnsi="Times New Roman" w:cs="Times New Roman" w:eastAsia="Times New Roman"/>
          <w:color w:val="FFFFFF"/>
          <w:w w:val="76"/>
          <w:sz w:val="60"/>
          <w:szCs w:val="60"/>
          <w:shd w:fill="0CC2EE" w:color="auto" w:val="clear"/>
        </w:rPr>
        <w:t> </w:t>
      </w:r>
      <w:r>
        <w:rPr>
          <w:rFonts w:ascii="Times New Roman" w:hAnsi="Times New Roman" w:cs="Times New Roman" w:eastAsia="Times New Roman"/>
          <w:color w:val="FFFFFF"/>
          <w:sz w:val="60"/>
          <w:szCs w:val="60"/>
          <w:shd w:fill="0CC2EE" w:color="auto" w:val="clear"/>
        </w:rPr>
        <w:tab/>
      </w:r>
      <w:r>
        <w:rPr>
          <w:rFonts w:ascii="PMingLiU" w:hAnsi="PMingLiU" w:cs="PMingLiU" w:eastAsia="PMingLiU"/>
          <w:color w:val="FFFFFF"/>
          <w:spacing w:val="46"/>
          <w:w w:val="85"/>
          <w:sz w:val="60"/>
          <w:szCs w:val="60"/>
          <w:shd w:fill="0CC2EE" w:color="auto" w:val="clear"/>
        </w:rPr>
        <w:t>政府数据资产管理模式研究</w:t>
      </w:r>
      <w:r>
        <w:rPr>
          <w:rFonts w:ascii="Times New Roman" w:hAnsi="Times New Roman" w:cs="Times New Roman" w:eastAsia="Times New Roman"/>
          <w:color w:val="FFFFFF"/>
          <w:w w:val="85"/>
          <w:sz w:val="60"/>
          <w:szCs w:val="60"/>
          <w:shd w:fill="0CC2EE" w:color="auto" w:val="clear"/>
        </w:rPr>
        <w:t> </w:t>
      </w:r>
      <w:r>
        <w:rPr>
          <w:rFonts w:ascii="Times New Roman" w:hAnsi="Times New Roman" w:cs="Times New Roman" w:eastAsia="Times New Roman"/>
          <w:color w:val="FFFFFF"/>
          <w:sz w:val="60"/>
          <w:szCs w:val="60"/>
          <w:shd w:fill="0CC2EE" w:color="auto" w:val="clear"/>
        </w:rPr>
        <w:tab/>
      </w:r>
      <w:r>
        <w:rPr>
          <w:rFonts w:ascii="Times New Roman" w:hAnsi="Times New Roman" w:cs="Times New Roman" w:eastAsia="Times New Roman"/>
          <w:color w:val="FFFFFF"/>
          <w:sz w:val="60"/>
          <w:szCs w:val="60"/>
        </w:rPr>
      </w:r>
      <w:r>
        <w:rPr>
          <w:rFonts w:ascii="Times New Roman" w:hAnsi="Times New Roman" w:cs="Times New Roman" w:eastAsia="Times New Roman"/>
          <w:sz w:val="60"/>
          <w:szCs w:val="60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pStyle w:val="Heading1"/>
        <w:spacing w:line="240" w:lineRule="auto" w:before="179"/>
        <w:ind w:right="0"/>
        <w:jc w:val="center"/>
        <w:rPr>
          <w:rFonts w:ascii="宋体" w:hAnsi="宋体" w:cs="宋体" w:eastAsia="宋体"/>
        </w:rPr>
      </w:pPr>
      <w:r>
        <w:rPr>
          <w:rFonts w:ascii="宋体" w:hAnsi="宋体" w:cs="宋体" w:eastAsia="宋体"/>
          <w:color w:val="231F20"/>
        </w:rPr>
        <w:t>文 / 张莉莉  姚</w:t>
      </w:r>
      <w:r>
        <w:rPr>
          <w:rFonts w:ascii="宋体" w:hAnsi="宋体" w:cs="宋体" w:eastAsia="宋体"/>
          <w:color w:val="231F20"/>
          <w:spacing w:val="-34"/>
        </w:rPr>
        <w:t> </w:t>
      </w:r>
      <w:r>
        <w:rPr>
          <w:rFonts w:ascii="宋体" w:hAnsi="宋体" w:cs="宋体" w:eastAsia="宋体"/>
          <w:color w:val="231F20"/>
        </w:rPr>
        <w:t>丹</w:t>
      </w:r>
      <w:r>
        <w:rPr>
          <w:rFonts w:ascii="宋体" w:hAnsi="宋体" w:cs="宋体" w:eastAsia="宋体"/>
        </w:rPr>
      </w:r>
    </w:p>
    <w:p>
      <w:pPr>
        <w:spacing w:line="240" w:lineRule="auto" w:before="5"/>
        <w:rPr>
          <w:rFonts w:ascii="宋体" w:hAnsi="宋体" w:cs="宋体" w:eastAsia="宋体"/>
          <w:sz w:val="17"/>
          <w:szCs w:val="17"/>
        </w:rPr>
      </w:pPr>
    </w:p>
    <w:p>
      <w:pPr>
        <w:spacing w:after="0" w:line="240" w:lineRule="auto"/>
        <w:rPr>
          <w:rFonts w:ascii="宋体" w:hAnsi="宋体" w:cs="宋体" w:eastAsia="宋体"/>
          <w:sz w:val="17"/>
          <w:szCs w:val="17"/>
        </w:rPr>
        <w:sectPr>
          <w:type w:val="continuous"/>
          <w:pgSz w:w="11910" w:h="15600"/>
          <w:pgMar w:top="0" w:bottom="0" w:left="0" w:right="0"/>
        </w:sectPr>
      </w:pPr>
    </w:p>
    <w:p>
      <w:pPr>
        <w:pStyle w:val="BodyText"/>
        <w:spacing w:line="328" w:lineRule="auto" w:before="49"/>
        <w:ind w:left="1360" w:right="71"/>
        <w:jc w:val="both"/>
      </w:pPr>
      <w:r>
        <w:rPr>
          <w:color w:val="231F20"/>
          <w:spacing w:val="9"/>
        </w:rPr>
        <w:t>随着政务信息化的强劲发展，各</w:t>
      </w:r>
      <w:r>
        <w:rPr>
          <w:color w:val="231F20"/>
          <w:spacing w:val="10"/>
        </w:rPr>
        <w:t> 类政务数据被源源不断地产生并存储 </w:t>
      </w:r>
      <w:r>
        <w:rPr>
          <w:color w:val="231F20"/>
          <w:spacing w:val="9"/>
        </w:rPr>
        <w:t>在各行业信息系统中。然而，数据的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  <w:spacing w:val="9"/>
        </w:rPr>
        <w:t>价值挖掘还存在较大短板。文章从政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-2"/>
        </w:rPr>
        <w:t>府数据的价值、数据资产管理的概念、</w:t>
      </w:r>
      <w:r>
        <w:rPr>
          <w:color w:val="231F20"/>
          <w:spacing w:val="-29"/>
        </w:rPr>
        <w:t> </w:t>
      </w:r>
      <w:r>
        <w:rPr>
          <w:color w:val="231F20"/>
          <w:spacing w:val="-29"/>
        </w:rPr>
      </w:r>
      <w:r>
        <w:rPr>
          <w:color w:val="231F20"/>
          <w:spacing w:val="10"/>
        </w:rPr>
        <w:t>政府数据管理的现状出发分析了当前</w:t>
      </w:r>
      <w:r>
        <w:rPr>
          <w:color w:val="231F20"/>
          <w:spacing w:val="10"/>
        </w:rPr>
        <w:t> </w:t>
      </w:r>
      <w:r>
        <w:rPr>
          <w:color w:val="231F20"/>
          <w:spacing w:val="9"/>
        </w:rPr>
        <w:t>我国数据资产管理的必要性，提出规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10"/>
        </w:rPr>
        <w:t>范的数据资产管理需要构建统一的数 </w:t>
      </w:r>
      <w:r>
        <w:rPr>
          <w:color w:val="231F20"/>
          <w:spacing w:val="8"/>
        </w:rPr>
        <w:t>据视图，实施标准化的元数据管理，</w:t>
      </w:r>
      <w:r>
        <w:rPr>
          <w:color w:val="231F20"/>
          <w:spacing w:val="-30"/>
        </w:rPr>
        <w:t> </w:t>
      </w:r>
      <w:r>
        <w:rPr>
          <w:color w:val="231F20"/>
          <w:spacing w:val="-30"/>
        </w:rPr>
      </w:r>
      <w:r>
        <w:rPr>
          <w:color w:val="231F20"/>
          <w:spacing w:val="9"/>
        </w:rPr>
        <w:t>在使用权限上严格按层级管理，并通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过完善配套制度、加强组织保障来实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</w:rPr>
        <w:t>现数据资产的增值。</w:t>
      </w:r>
      <w:r>
        <w:rPr/>
      </w:r>
    </w:p>
    <w:p>
      <w:pPr>
        <w:pStyle w:val="BodyText"/>
        <w:spacing w:line="328" w:lineRule="auto"/>
        <w:ind w:left="1360" w:right="0"/>
        <w:jc w:val="left"/>
      </w:pPr>
      <w:r>
        <w:rPr>
          <w:color w:val="231F20"/>
          <w:spacing w:val="9"/>
        </w:rPr>
        <w:t>我国政务信息化发展阶段已经从 最初的萌芽期发展到了成长期。各级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3"/>
        </w:rPr>
        <w:t>行政管理部门高度重视信息化的价值。</w:t>
      </w:r>
      <w:r>
        <w:rPr>
          <w:color w:val="231F20"/>
          <w:spacing w:val="-36"/>
        </w:rPr>
        <w:t> </w:t>
      </w:r>
      <w:r>
        <w:rPr>
          <w:color w:val="231F20"/>
          <w:spacing w:val="-36"/>
        </w:rPr>
      </w:r>
      <w:r>
        <w:rPr>
          <w:color w:val="231F20"/>
          <w:spacing w:val="10"/>
        </w:rPr>
        <w:t>信息化系统已经应用并贯穿于政府管</w:t>
      </w:r>
      <w:r>
        <w:rPr>
          <w:color w:val="231F20"/>
          <w:spacing w:val="10"/>
        </w:rPr>
        <w:t> </w:t>
      </w:r>
      <w:r>
        <w:rPr>
          <w:color w:val="231F20"/>
          <w:spacing w:val="9"/>
        </w:rPr>
        <w:t>理各个领域、各个环节中。在这一运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</w:rPr>
        <w:t>行过程中，地理空间数据、环境数据、</w:t>
      </w:r>
      <w:r>
        <w:rPr>
          <w:color w:val="231F20"/>
        </w:rPr>
        <w:t> </w:t>
      </w:r>
      <w:r>
        <w:rPr>
          <w:color w:val="231F20"/>
          <w:spacing w:val="9"/>
        </w:rPr>
        <w:t>交通数据、规划数据、预算数据和税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  <w:spacing w:val="10"/>
        </w:rPr>
        <w:t>收数据等各类数据源源不断地产生并</w:t>
      </w:r>
      <w:r>
        <w:rPr>
          <w:color w:val="231F20"/>
          <w:spacing w:val="10"/>
        </w:rPr>
        <w:t> </w:t>
      </w:r>
      <w:r>
        <w:rPr>
          <w:color w:val="231F20"/>
          <w:spacing w:val="9"/>
        </w:rPr>
        <w:t>被独立存储在系统的后台。如何发掘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这些数据中隐藏的价值？数据资产化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管理随之应运而生。然而简单存储的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数据并不等同于数据资产，有效的数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</w:rPr>
        <w:t>据管理才是数据资产形成的必要条件。</w:t>
      </w:r>
      <w:r>
        <w:rPr/>
      </w:r>
    </w:p>
    <w:p>
      <w:pPr>
        <w:pStyle w:val="Heading2"/>
        <w:spacing w:line="240" w:lineRule="auto"/>
        <w:ind w:left="1941" w:right="0"/>
        <w:jc w:val="left"/>
      </w:pPr>
      <w:r>
        <w:rPr>
          <w:color w:val="0CC2EE"/>
        </w:rPr>
        <w:t>政府数据资产的价值</w:t>
      </w:r>
      <w:r>
        <w:rPr/>
      </w:r>
    </w:p>
    <w:p>
      <w:pPr>
        <w:pStyle w:val="BodyText"/>
        <w:spacing w:line="328" w:lineRule="auto" w:before="123"/>
        <w:ind w:left="1360" w:right="72"/>
        <w:jc w:val="both"/>
      </w:pPr>
      <w:r>
        <w:rPr>
          <w:color w:val="231F20"/>
          <w:spacing w:val="4"/>
        </w:rPr>
        <w:t>麦肯锡发布的报告预</w:t>
      </w:r>
      <w:r>
        <w:rPr>
          <w:color w:val="231F20"/>
        </w:rPr>
        <w:t>测</w:t>
      </w:r>
      <w:r>
        <w:rPr>
          <w:color w:val="231F20"/>
          <w:spacing w:val="4"/>
          <w:w w:val="87"/>
        </w:rPr>
        <w:t>“数据是一</w:t>
      </w:r>
      <w:r>
        <w:rPr>
          <w:color w:val="231F20"/>
          <w:spacing w:val="4"/>
          <w:w w:val="87"/>
        </w:rPr>
        <w:t> </w:t>
      </w:r>
      <w:r>
        <w:rPr>
          <w:color w:val="231F20"/>
          <w:spacing w:val="10"/>
        </w:rPr>
        <w:t>种资</w:t>
      </w:r>
      <w:r>
        <w:rPr>
          <w:color w:val="231F20"/>
        </w:rPr>
        <w:t>产</w:t>
      </w:r>
      <w:r>
        <w:rPr>
          <w:color w:val="231F20"/>
          <w:spacing w:val="10"/>
        </w:rPr>
        <w:t>，是一种在全球化的时代中制</w:t>
      </w:r>
      <w:r>
        <w:rPr>
          <w:color w:val="231F20"/>
          <w:spacing w:val="10"/>
        </w:rPr>
        <w:t> </w:t>
      </w:r>
      <w:r>
        <w:rPr>
          <w:color w:val="231F20"/>
          <w:spacing w:val="6"/>
        </w:rPr>
        <w:t>胜的战略资</w:t>
      </w:r>
      <w:r>
        <w:rPr>
          <w:color w:val="231F20"/>
          <w:spacing w:val="3"/>
        </w:rPr>
        <w:t>源</w:t>
      </w:r>
      <w:r>
        <w:rPr>
          <w:color w:val="231F20"/>
          <w:spacing w:val="-1"/>
          <w:w w:val="36"/>
        </w:rPr>
        <w:t>”</w:t>
      </w:r>
      <w:r>
        <w:rPr>
          <w:color w:val="231F20"/>
          <w:spacing w:val="6"/>
        </w:rPr>
        <w:t>。从传统的资产管理概</w:t>
      </w:r>
      <w:r>
        <w:rPr>
          <w:color w:val="231F20"/>
          <w:spacing w:val="6"/>
        </w:rPr>
        <w:t> </w:t>
      </w:r>
      <w:r>
        <w:rPr>
          <w:color w:val="231F20"/>
        </w:rPr>
        <w:t>念出发</w:t>
      </w:r>
      <w:r>
        <w:rPr>
          <w:color w:val="231F20"/>
          <w:spacing w:val="-18"/>
        </w:rPr>
        <w:t>，</w:t>
      </w:r>
      <w:r>
        <w:rPr>
          <w:color w:val="231F20"/>
        </w:rPr>
        <w:t>结合政府大数据独有的特征，</w:t>
      </w:r>
      <w:r>
        <w:rPr>
          <w:color w:val="231F20"/>
        </w:rPr>
        <w:t> </w:t>
      </w:r>
      <w:r>
        <w:rPr>
          <w:color w:val="231F20"/>
          <w:spacing w:val="10"/>
        </w:rPr>
        <w:t>政府数据资产是指由政府部门自身管</w:t>
      </w:r>
      <w:r>
        <w:rPr>
          <w:color w:val="231F20"/>
          <w:spacing w:val="10"/>
        </w:rPr>
        <w:t> 理工作生产得</w:t>
      </w:r>
      <w:r>
        <w:rPr>
          <w:color w:val="231F20"/>
        </w:rPr>
        <w:t>到</w:t>
      </w:r>
      <w:r>
        <w:rPr>
          <w:color w:val="231F20"/>
          <w:spacing w:val="10"/>
        </w:rPr>
        <w:t>，由政府部门拥有并</w:t>
      </w:r>
      <w:r>
        <w:rPr>
          <w:color w:val="231F20"/>
          <w:spacing w:val="10"/>
        </w:rPr>
        <w:t> 且控制</w:t>
      </w:r>
      <w:r>
        <w:rPr>
          <w:color w:val="231F20"/>
        </w:rPr>
        <w:t>的</w:t>
      </w:r>
      <w:r>
        <w:rPr>
          <w:color w:val="231F20"/>
          <w:spacing w:val="10"/>
        </w:rPr>
        <w:t>，经过处理后能够产生一定</w:t>
      </w:r>
      <w:r>
        <w:rPr>
          <w:color w:val="231F20"/>
          <w:spacing w:val="10"/>
        </w:rPr>
        <w:t> 价值的数据集</w:t>
      </w:r>
      <w:r>
        <w:rPr>
          <w:color w:val="231F20"/>
        </w:rPr>
        <w:t>合</w:t>
      </w:r>
      <w:r>
        <w:rPr>
          <w:color w:val="231F20"/>
          <w:spacing w:val="10"/>
        </w:rPr>
        <w:t>。政府数据资产具有</w:t>
      </w:r>
      <w:r>
        <w:rPr/>
      </w:r>
    </w:p>
    <w:p>
      <w:pPr>
        <w:pStyle w:val="BodyText"/>
        <w:spacing w:line="328" w:lineRule="auto" w:before="49"/>
        <w:ind w:right="0" w:firstLine="0"/>
        <w:jc w:val="left"/>
      </w:pPr>
      <w:r>
        <w:rPr>
          <w:spacing w:val="9"/>
        </w:rPr>
        <w:br w:type="column"/>
      </w:r>
      <w:r>
        <w:rPr>
          <w:color w:val="231F20"/>
          <w:spacing w:val="9"/>
        </w:rPr>
        <w:t>以下特性，一是政府部门产生并且所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8"/>
        </w:rPr>
        <w:t>有；二是数据具有一定的生命周期；</w:t>
      </w:r>
      <w:r>
        <w:rPr>
          <w:color w:val="231F20"/>
          <w:spacing w:val="-30"/>
        </w:rPr>
        <w:t> </w:t>
      </w:r>
      <w:r>
        <w:rPr>
          <w:color w:val="231F20"/>
          <w:spacing w:val="-30"/>
        </w:rPr>
      </w:r>
      <w:r>
        <w:rPr>
          <w:color w:val="231F20"/>
          <w:spacing w:val="3"/>
        </w:rPr>
        <w:t>三是数据形成资产前必须要进行归集、</w:t>
      </w:r>
      <w:r>
        <w:rPr>
          <w:color w:val="231F20"/>
          <w:spacing w:val="-36"/>
        </w:rPr>
        <w:t> </w:t>
      </w:r>
      <w:r>
        <w:rPr>
          <w:color w:val="231F20"/>
          <w:spacing w:val="-36"/>
        </w:rPr>
      </w:r>
      <w:r>
        <w:rPr>
          <w:color w:val="231F20"/>
          <w:spacing w:val="9"/>
        </w:rPr>
        <w:t>清洗、整理、查验等基础加工程序；</w:t>
      </w:r>
      <w:r>
        <w:rPr>
          <w:color w:val="231F20"/>
        </w:rPr>
        <w:t> </w:t>
      </w:r>
      <w:r>
        <w:rPr>
          <w:color w:val="231F20"/>
          <w:spacing w:val="9"/>
        </w:rPr>
        <w:t>四是经过分析，对社会运行或企业运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</w:rPr>
        <w:t>转具有一定价值。</w:t>
      </w:r>
      <w:r>
        <w:rPr/>
      </w:r>
    </w:p>
    <w:p>
      <w:pPr>
        <w:pStyle w:val="BodyText"/>
        <w:spacing w:line="328" w:lineRule="auto"/>
        <w:ind w:right="71"/>
        <w:jc w:val="both"/>
      </w:pPr>
      <w:r>
        <w:rPr>
          <w:color w:val="231F20"/>
          <w:spacing w:val="9"/>
        </w:rPr>
        <w:t>虽然数据资产的商业化不适用于 我国政府，但这并不妨碍利用开放的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10"/>
        </w:rPr>
        <w:t>数据资产为社会运行提供不竭创新动 </w:t>
      </w:r>
      <w:r>
        <w:rPr>
          <w:color w:val="231F20"/>
          <w:spacing w:val="9"/>
        </w:rPr>
        <w:t>力，如服务企业运行监测、辅助城市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  <w:spacing w:val="9"/>
        </w:rPr>
        <w:t>规划设计、改善教学体验、改善教学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  <w:spacing w:val="9"/>
        </w:rPr>
        <w:t>体验。提供医疗规划服务、改善教学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  <w:spacing w:val="9"/>
        </w:rPr>
        <w:t>体验、提供医疗咨询服务、加强对农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  <w:spacing w:val="-2"/>
        </w:rPr>
        <w:t>业生产的预测和管理等各方面。同时，</w:t>
      </w:r>
      <w:r>
        <w:rPr>
          <w:color w:val="231F20"/>
          <w:spacing w:val="-29"/>
        </w:rPr>
        <w:t> </w:t>
      </w:r>
      <w:r>
        <w:rPr>
          <w:color w:val="231F20"/>
          <w:spacing w:val="-29"/>
        </w:rPr>
      </w:r>
      <w:r>
        <w:rPr>
          <w:color w:val="231F20"/>
          <w:spacing w:val="8"/>
        </w:rPr>
        <w:t>企业也可以利用这些数据辅助决策，</w:t>
      </w:r>
      <w:r>
        <w:rPr>
          <w:color w:val="231F20"/>
          <w:spacing w:val="-33"/>
        </w:rPr>
        <w:t> </w:t>
      </w:r>
      <w:r>
        <w:rPr>
          <w:color w:val="231F20"/>
          <w:spacing w:val="-33"/>
        </w:rPr>
      </w:r>
      <w:r>
        <w:rPr>
          <w:color w:val="231F20"/>
          <w:spacing w:val="10"/>
        </w:rPr>
        <w:t>将数据产生的价值融入自身的产品和</w:t>
      </w:r>
      <w:r>
        <w:rPr>
          <w:color w:val="231F20"/>
          <w:spacing w:val="10"/>
        </w:rPr>
        <w:t> </w:t>
      </w:r>
      <w:r>
        <w:rPr>
          <w:color w:val="231F20"/>
          <w:spacing w:val="9"/>
        </w:rPr>
        <w:t>服务中，如出行咨询服务、教育教学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</w:rPr>
        <w:t>引导、经济发展预测等。</w:t>
      </w:r>
      <w:r>
        <w:rPr/>
      </w:r>
    </w:p>
    <w:p>
      <w:pPr>
        <w:pStyle w:val="Heading2"/>
        <w:spacing w:line="240" w:lineRule="auto"/>
        <w:ind w:right="0"/>
        <w:jc w:val="left"/>
      </w:pPr>
      <w:r>
        <w:rPr>
          <w:color w:val="0CC2EE"/>
        </w:rPr>
        <w:t>我国政府数据资产管理的现状</w:t>
      </w:r>
      <w:r>
        <w:rPr/>
      </w:r>
    </w:p>
    <w:p>
      <w:pPr>
        <w:pStyle w:val="BodyText"/>
        <w:spacing w:line="328" w:lineRule="auto" w:before="123"/>
        <w:ind w:right="0"/>
        <w:jc w:val="left"/>
      </w:pPr>
      <w:r>
        <w:rPr>
          <w:color w:val="231F20"/>
          <w:spacing w:val="9"/>
        </w:rPr>
        <w:t>现有系统集成度不高，信息孤岛</w:t>
      </w:r>
      <w:r>
        <w:rPr>
          <w:color w:val="231F20"/>
          <w:spacing w:val="10"/>
        </w:rPr>
        <w:t> </w:t>
      </w:r>
      <w:r>
        <w:rPr>
          <w:color w:val="231F20"/>
          <w:spacing w:val="9"/>
        </w:rPr>
        <w:t>仍然存在。由于我国政府信息化的发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展尚处于较低级的阶段，行政管理部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3"/>
        </w:rPr>
        <w:t>门业务系统在建设初期没有统一规划、</w:t>
      </w:r>
      <w:r>
        <w:rPr>
          <w:color w:val="231F20"/>
          <w:spacing w:val="-36"/>
        </w:rPr>
        <w:t> </w:t>
      </w:r>
      <w:r>
        <w:rPr>
          <w:color w:val="231F20"/>
          <w:spacing w:val="-36"/>
        </w:rPr>
      </w:r>
      <w:r>
        <w:rPr>
          <w:color w:val="231F20"/>
          <w:spacing w:val="9"/>
        </w:rPr>
        <w:t>业务流程没有互相衔接，系统数据都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存放在部门自身的数据库中，出现了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10"/>
        </w:rPr>
        <w:t>相同的信息在不同系统中存储格式不 </w:t>
      </w:r>
      <w:r>
        <w:rPr>
          <w:color w:val="231F20"/>
          <w:spacing w:val="9"/>
        </w:rPr>
        <w:t>同，甚至因为人工原因连数值都不尽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</w:rPr>
        <w:t>相同。</w:t>
      </w:r>
      <w:r>
        <w:rPr/>
      </w:r>
    </w:p>
    <w:p>
      <w:pPr>
        <w:pStyle w:val="BodyText"/>
        <w:spacing w:line="328" w:lineRule="auto"/>
        <w:ind w:right="71"/>
        <w:jc w:val="both"/>
      </w:pPr>
      <w:r>
        <w:rPr>
          <w:color w:val="231F20"/>
          <w:spacing w:val="9"/>
        </w:rPr>
        <w:t>数据未形成全面汇聚，发挥效应</w:t>
      </w:r>
      <w:r>
        <w:rPr>
          <w:color w:val="231F20"/>
          <w:spacing w:val="10"/>
        </w:rPr>
        <w:t> </w:t>
      </w:r>
      <w:r>
        <w:rPr>
          <w:color w:val="231F20"/>
          <w:spacing w:val="9"/>
        </w:rPr>
        <w:t>不够。由于不同系统中的数据没有统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一的管理，无法提供一个完整、准确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  <w:spacing w:val="9"/>
        </w:rPr>
        <w:t>的高质量数据集，在分析和使用数据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的过程中，也就无法确保分析结果的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准确性。同时，政府部门在业务数据</w:t>
      </w:r>
      <w:r>
        <w:rPr/>
      </w:r>
    </w:p>
    <w:p>
      <w:pPr>
        <w:pStyle w:val="BodyText"/>
        <w:spacing w:line="328" w:lineRule="auto" w:before="49"/>
        <w:ind w:right="1346" w:firstLine="0"/>
        <w:jc w:val="both"/>
      </w:pPr>
      <w:r>
        <w:rPr>
          <w:spacing w:val="9"/>
        </w:rPr>
        <w:br w:type="column"/>
      </w:r>
      <w:r>
        <w:rPr>
          <w:color w:val="231F20"/>
          <w:spacing w:val="9"/>
        </w:rPr>
        <w:t>的生产、使用、维护等全周期管理的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  <w:spacing w:val="9"/>
        </w:rPr>
        <w:t>规范和流程方面不够完善，无法挖掘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</w:rPr>
        <w:t>和发挥大数据资产的价值。</w:t>
      </w:r>
      <w:r>
        <w:rPr/>
      </w:r>
    </w:p>
    <w:p>
      <w:pPr>
        <w:pStyle w:val="BodyText"/>
        <w:spacing w:line="328" w:lineRule="auto"/>
        <w:ind w:right="879"/>
        <w:jc w:val="left"/>
      </w:pPr>
      <w:r>
        <w:rPr>
          <w:color w:val="231F20"/>
          <w:spacing w:val="9"/>
        </w:rPr>
        <w:t>资产管理思维逐步形成，挖潜空</w:t>
      </w:r>
      <w:r>
        <w:rPr>
          <w:color w:val="231F20"/>
          <w:spacing w:val="10"/>
        </w:rPr>
        <w:t> </w:t>
      </w:r>
      <w:r>
        <w:rPr>
          <w:color w:val="231F20"/>
          <w:spacing w:val="9"/>
        </w:rPr>
        <w:t>间较大。近年来，政府部门的改革逐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  <w:spacing w:val="9"/>
        </w:rPr>
        <w:t>步深入，思想逐渐开放，为数据资产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  <w:spacing w:val="9"/>
        </w:rPr>
        <w:t>的使用奠定了一定基础。贵州、杭州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  <w:spacing w:val="9"/>
        </w:rPr>
        <w:t>等均制定出台了大数据管理、开放的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-6"/>
        </w:rPr>
        <w:t>试行办法；重庆，广州也就数据的清洗、</w:t>
      </w:r>
      <w:r>
        <w:rPr>
          <w:color w:val="231F20"/>
          <w:spacing w:val="-41"/>
        </w:rPr>
        <w:t> </w:t>
      </w:r>
      <w:r>
        <w:rPr>
          <w:color w:val="231F20"/>
          <w:spacing w:val="-41"/>
        </w:rPr>
      </w:r>
      <w:r>
        <w:rPr>
          <w:color w:val="231F20"/>
          <w:spacing w:val="9"/>
        </w:rPr>
        <w:t>治理出台了明确办法。通过制定完善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配套管理制度，由相关职能部门或企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业深挖资产的潜力，做出更好的分析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</w:rPr>
        <w:t>判断和决策。</w:t>
      </w:r>
      <w:r>
        <w:rPr/>
      </w:r>
    </w:p>
    <w:p>
      <w:pPr>
        <w:pStyle w:val="BodyText"/>
        <w:spacing w:line="328" w:lineRule="auto"/>
        <w:ind w:right="879"/>
        <w:jc w:val="left"/>
      </w:pPr>
      <w:r>
        <w:rPr>
          <w:color w:val="231F20"/>
          <w:spacing w:val="2"/>
        </w:rPr>
        <w:t>少数领域着手探讨数据资产管理，</w:t>
      </w:r>
      <w:r>
        <w:rPr>
          <w:color w:val="231F20"/>
        </w:rPr>
        <w:t> </w:t>
      </w:r>
      <w:r>
        <w:rPr>
          <w:color w:val="231F20"/>
          <w:spacing w:val="9"/>
        </w:rPr>
        <w:t>做出有益尝试。如李玉杰提出在省级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电力企业中通过优化组织模式、拓展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应用场景、加强运行监测，实施数据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  <w:spacing w:val="9"/>
        </w:rPr>
        <w:t>资产管理与数据化运营；王洋提出电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8"/>
        </w:rPr>
        <w:t>信运营商从数据生产能力提升入手、</w:t>
      </w:r>
      <w:r>
        <w:rPr>
          <w:color w:val="231F20"/>
          <w:spacing w:val="-33"/>
        </w:rPr>
        <w:t> </w:t>
      </w:r>
      <w:r>
        <w:rPr>
          <w:color w:val="231F20"/>
          <w:spacing w:val="-33"/>
        </w:rPr>
      </w:r>
      <w:r>
        <w:rPr>
          <w:color w:val="231F20"/>
          <w:spacing w:val="9"/>
        </w:rPr>
        <w:t>变革创新运营模式，推动电信大数据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在各领域应用推广，建立全程全网的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数据安全管控机制，推动数据资产化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</w:rPr>
        <w:t>管理。</w:t>
      </w:r>
      <w:r>
        <w:rPr/>
      </w:r>
    </w:p>
    <w:p>
      <w:pPr>
        <w:pStyle w:val="Heading2"/>
        <w:spacing w:line="240" w:lineRule="auto"/>
        <w:ind w:right="879"/>
        <w:jc w:val="left"/>
      </w:pPr>
      <w:r>
        <w:rPr>
          <w:color w:val="0CC2EE"/>
        </w:rPr>
        <w:t>政府数据资产管理的具体措施</w:t>
      </w:r>
      <w:r>
        <w:rPr/>
      </w:r>
    </w:p>
    <w:p>
      <w:pPr>
        <w:pStyle w:val="BodyText"/>
        <w:spacing w:line="328" w:lineRule="auto" w:before="123"/>
        <w:ind w:right="1346"/>
        <w:jc w:val="both"/>
      </w:pPr>
      <w:r>
        <w:rPr>
          <w:color w:val="231F20"/>
          <w:spacing w:val="9"/>
        </w:rPr>
        <w:t>数据资产管理包括资产系统的规 划设计、业务数据的采集、清洗审核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  <w:spacing w:val="9"/>
        </w:rPr>
        <w:t>整理、数据脱敏后适度发布、挖掘分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  <w:spacing w:val="9"/>
        </w:rPr>
        <w:t>析实现价值等内容。和商业数据资产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比较，政府数据资产管理在业务系统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的整合、后台的汇集，数据的清洗、</w:t>
      </w:r>
      <w:r>
        <w:rPr>
          <w:color w:val="231F20"/>
        </w:rPr>
        <w:t> </w:t>
      </w:r>
      <w:r>
        <w:rPr>
          <w:color w:val="231F20"/>
          <w:spacing w:val="9"/>
        </w:rPr>
        <w:t>比对整理等方面有一定的相似，但是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在系统谋划设计、数据泄密风险、资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</w:rPr>
        <w:t>产变现等方面具有一定特殊性。</w:t>
      </w:r>
      <w:r>
        <w:rPr/>
      </w:r>
    </w:p>
    <w:p>
      <w:pPr>
        <w:pStyle w:val="BodyText"/>
        <w:spacing w:line="240" w:lineRule="auto"/>
        <w:ind w:left="526" w:right="879" w:firstLine="0"/>
        <w:jc w:val="left"/>
      </w:pPr>
      <w:r>
        <w:rPr>
          <w:color w:val="231F20"/>
          <w:spacing w:val="9"/>
        </w:rPr>
        <w:t>一是构建统一的数据视图。数据</w:t>
      </w:r>
      <w:r>
        <w:rPr/>
      </w:r>
    </w:p>
    <w:p>
      <w:pPr>
        <w:spacing w:after="0" w:line="240" w:lineRule="auto"/>
        <w:jc w:val="left"/>
        <w:sectPr>
          <w:type w:val="continuous"/>
          <w:pgSz w:w="11910" w:h="15600"/>
          <w:pgMar w:top="0" w:bottom="0" w:left="0" w:right="0"/>
          <w:cols w:num="3" w:equalWidth="0">
            <w:col w:w="4319" w:space="40"/>
            <w:col w:w="3116" w:space="40"/>
            <w:col w:w="4395"/>
          </w:cols>
        </w:sectPr>
      </w:pPr>
    </w:p>
    <w:p>
      <w:pPr>
        <w:spacing w:line="240" w:lineRule="auto" w:before="0"/>
        <w:rPr>
          <w:rFonts w:ascii="PMingLiU" w:hAnsi="PMingLiU" w:cs="PMingLiU" w:eastAsia="PMingLiU"/>
          <w:sz w:val="20"/>
          <w:szCs w:val="20"/>
        </w:rPr>
      </w:pPr>
    </w:p>
    <w:p>
      <w:pPr>
        <w:spacing w:line="240" w:lineRule="auto" w:before="0"/>
        <w:rPr>
          <w:rFonts w:ascii="PMingLiU" w:hAnsi="PMingLiU" w:cs="PMingLiU" w:eastAsia="PMingLiU"/>
          <w:sz w:val="20"/>
          <w:szCs w:val="20"/>
        </w:rPr>
      </w:pPr>
    </w:p>
    <w:p>
      <w:pPr>
        <w:spacing w:line="240" w:lineRule="auto" w:before="5"/>
        <w:rPr>
          <w:rFonts w:ascii="PMingLiU" w:hAnsi="PMingLiU" w:cs="PMingLiU" w:eastAsia="PMingLiU"/>
          <w:sz w:val="10"/>
          <w:szCs w:val="10"/>
        </w:rPr>
      </w:pPr>
    </w:p>
    <w:p>
      <w:pPr>
        <w:pStyle w:val="Heading1"/>
        <w:tabs>
          <w:tab w:pos="8214" w:val="left" w:leader="none"/>
        </w:tabs>
        <w:spacing w:line="331" w:lineRule="exact"/>
        <w:ind w:left="375" w:right="0"/>
        <w:jc w:val="left"/>
        <w:rPr>
          <w:rFonts w:ascii="PMingLiU" w:hAnsi="PMingLiU" w:cs="PMingLiU" w:eastAsia="PMingLiU"/>
          <w:sz w:val="19"/>
          <w:szCs w:val="19"/>
        </w:rPr>
      </w:pPr>
      <w:r>
        <w:rPr>
          <w:rFonts w:ascii="PMingLiU"/>
          <w:position w:val="-6"/>
        </w:rPr>
        <w:pict>
          <v:group style="width:380.55pt;height:16.6pt;mso-position-horizontal-relative:char;mso-position-vertical-relative:line" coordorigin="0,0" coordsize="7611,332">
            <v:group style="position:absolute;left:356;top:5;width:2;height:222" coordorigin="356,5" coordsize="2,222">
              <v:shape style="position:absolute;left:356;top:5;width:2;height:222" coordorigin="356,5" coordsize="0,222" path="m356,5l356,226e" filled="false" stroked="true" strokeweight=".5pt" strokecolor="#231f20">
                <v:path arrowok="t"/>
              </v:shape>
              <v:shape style="position:absolute;left:32;top:137;width:7578;height:194" type="#_x0000_t75" stroked="false">
                <v:imagedata r:id="rId5" o:title=""/>
              </v:shape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left:0;top:27;width:264;height:220" type="#_x0000_t202" filled="false" stroked="false">
                <v:textbox inset="0,0,0,0">
                  <w:txbxContent>
                    <w:p>
                      <w:pPr>
                        <w:spacing w:line="220" w:lineRule="exact" w:before="0"/>
                        <w:ind w:left="0" w:right="0" w:firstLine="0"/>
                        <w:jc w:val="left"/>
                        <w:rPr>
                          <w:rFonts w:ascii="Courier New" w:hAnsi="Courier New" w:cs="Courier New" w:eastAsia="Courier New"/>
                          <w:sz w:val="22"/>
                          <w:szCs w:val="22"/>
                        </w:rPr>
                      </w:pPr>
                      <w:r>
                        <w:rPr>
                          <w:rFonts w:ascii="Courier New"/>
                          <w:color w:val="231F20"/>
                          <w:sz w:val="22"/>
                        </w:rPr>
                        <w:t>40</w:t>
                      </w:r>
                      <w:r>
                        <w:rPr>
                          <w:rFonts w:ascii="Courier New"/>
                          <w:sz w:val="22"/>
                        </w:rPr>
                      </w:r>
                    </w:p>
                  </w:txbxContent>
                </v:textbox>
                <w10:wrap type="none"/>
              </v:shape>
              <v:shape style="position:absolute;left:417;top:12;width:475;height:240" type="#_x0000_t202" filled="false" stroked="false">
                <v:textbox inset="0,0,0,0">
                  <w:txbxContent>
                    <w:p>
                      <w:pPr>
                        <w:spacing w:line="85" w:lineRule="exact" w:before="0"/>
                        <w:ind w:left="0" w:right="0" w:firstLine="0"/>
                        <w:jc w:val="left"/>
                        <w:rPr>
                          <w:rFonts w:ascii="微软雅黑" w:hAnsi="微软雅黑" w:cs="微软雅黑" w:eastAsia="微软雅黑"/>
                          <w:sz w:val="12"/>
                          <w:szCs w:val="12"/>
                        </w:rPr>
                      </w:pPr>
                      <w:r>
                        <w:rPr>
                          <w:rFonts w:ascii="微软雅黑"/>
                          <w:color w:val="231F20"/>
                          <w:w w:val="103"/>
                          <w:sz w:val="12"/>
                        </w:rPr>
                        <w:t>2020</w:t>
                      </w:r>
                      <w:r>
                        <w:rPr>
                          <w:rFonts w:ascii="微软雅黑"/>
                          <w:color w:val="231F20"/>
                          <w:w w:val="103"/>
                          <w:sz w:val="12"/>
                        </w:rPr>
                        <w:t>.0</w:t>
                      </w:r>
                      <w:r>
                        <w:rPr>
                          <w:rFonts w:ascii="微软雅黑"/>
                          <w:color w:val="231F20"/>
                          <w:w w:val="103"/>
                          <w:sz w:val="12"/>
                        </w:rPr>
                        <w:t>7</w:t>
                      </w:r>
                      <w:r>
                        <w:rPr>
                          <w:rFonts w:ascii="微软雅黑"/>
                          <w:sz w:val="12"/>
                        </w:rPr>
                      </w:r>
                    </w:p>
                    <w:p>
                      <w:pPr>
                        <w:spacing w:line="155" w:lineRule="exact" w:before="0"/>
                        <w:ind w:left="0" w:right="0" w:firstLine="0"/>
                        <w:jc w:val="left"/>
                        <w:rPr>
                          <w:rFonts w:ascii="微软雅黑" w:hAnsi="微软雅黑" w:cs="微软雅黑" w:eastAsia="微软雅黑"/>
                          <w:sz w:val="12"/>
                          <w:szCs w:val="12"/>
                        </w:rPr>
                      </w:pPr>
                      <w:r>
                        <w:rPr>
                          <w:rFonts w:ascii="微软雅黑"/>
                          <w:color w:val="231F20"/>
                          <w:spacing w:val="4"/>
                          <w:w w:val="103"/>
                          <w:sz w:val="12"/>
                        </w:rPr>
                        <w:t>N</w:t>
                      </w:r>
                      <w:r>
                        <w:rPr>
                          <w:rFonts w:ascii="微软雅黑"/>
                          <w:color w:val="231F20"/>
                          <w:spacing w:val="-1"/>
                          <w:w w:val="103"/>
                          <w:sz w:val="12"/>
                        </w:rPr>
                        <w:t>O</w:t>
                      </w:r>
                      <w:r>
                        <w:rPr>
                          <w:rFonts w:ascii="微软雅黑"/>
                          <w:color w:val="231F20"/>
                          <w:spacing w:val="5"/>
                          <w:w w:val="103"/>
                          <w:sz w:val="12"/>
                        </w:rPr>
                        <w:t>.473</w:t>
                      </w:r>
                      <w:r>
                        <w:rPr>
                          <w:rFonts w:ascii="微软雅黑"/>
                          <w:sz w:val="12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PMingLiU"/>
          <w:position w:val="-6"/>
        </w:rPr>
      </w:r>
      <w:r>
        <w:rPr>
          <w:rFonts w:ascii="PMingLiU"/>
          <w:position w:val="-6"/>
        </w:rPr>
        <w:tab/>
      </w:r>
      <w:r>
        <w:rPr>
          <w:rFonts w:ascii="PMingLiU"/>
          <w:position w:val="-5"/>
          <w:sz w:val="19"/>
        </w:rPr>
        <w:drawing>
          <wp:inline distT="0" distB="0" distL="0" distR="0">
            <wp:extent cx="1065865" cy="121348"/>
            <wp:effectExtent l="0" t="0" r="0" b="0"/>
            <wp:docPr id="1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5865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PMingLiU"/>
          <w:position w:val="-5"/>
          <w:sz w:val="19"/>
        </w:rPr>
      </w:r>
    </w:p>
    <w:p>
      <w:pPr>
        <w:spacing w:after="0" w:line="331" w:lineRule="exact"/>
        <w:jc w:val="left"/>
        <w:rPr>
          <w:rFonts w:ascii="PMingLiU" w:hAnsi="PMingLiU" w:cs="PMingLiU" w:eastAsia="PMingLiU"/>
          <w:sz w:val="19"/>
          <w:szCs w:val="19"/>
        </w:rPr>
        <w:sectPr>
          <w:type w:val="continuous"/>
          <w:pgSz w:w="11910" w:h="15600"/>
          <w:pgMar w:top="0" w:bottom="0" w:left="0" w:right="0"/>
        </w:sectPr>
      </w:pPr>
    </w:p>
    <w:p>
      <w:pPr>
        <w:spacing w:line="522" w:lineRule="exact"/>
        <w:ind w:left="-3" w:right="0" w:firstLine="0"/>
        <w:rPr>
          <w:rFonts w:ascii="PMingLiU" w:hAnsi="PMingLiU" w:cs="PMingLiU" w:eastAsia="PMingLiU"/>
          <w:sz w:val="20"/>
          <w:szCs w:val="20"/>
        </w:rPr>
      </w:pPr>
      <w:r>
        <w:rPr>
          <w:rFonts w:ascii="PMingLiU" w:hAnsi="PMingLiU" w:cs="PMingLiU" w:eastAsia="PMingLiU"/>
          <w:position w:val="-9"/>
          <w:sz w:val="20"/>
          <w:szCs w:val="20"/>
        </w:rPr>
        <w:pict>
          <v:group style="width:54pt;height:26.15pt;mso-position-horizontal-relative:char;mso-position-vertical-relative:line" coordorigin="0,0" coordsize="1080,523">
            <v:group style="position:absolute;left:3;top:3;width:1075;height:517" coordorigin="3,3" coordsize="1075,517">
              <v:shape style="position:absolute;left:3;top:3;width:1075;height:517" coordorigin="3,3" coordsize="1075,517" path="m1077,3l3,3,3,520,1077,520,1077,3e" filled="false" stroked="true" strokeweight=".283pt" strokecolor="#e9ddd1">
                <v:path arrowok="t"/>
              </v:shape>
            </v:group>
          </v:group>
        </w:pict>
      </w:r>
      <w:r>
        <w:rPr>
          <w:rFonts w:ascii="PMingLiU" w:hAnsi="PMingLiU" w:cs="PMingLiU" w:eastAsia="PMingLiU"/>
          <w:position w:val="-9"/>
          <w:sz w:val="20"/>
          <w:szCs w:val="20"/>
        </w:rPr>
      </w:r>
    </w:p>
    <w:p>
      <w:pPr>
        <w:spacing w:line="240" w:lineRule="auto" w:before="11"/>
        <w:rPr>
          <w:rFonts w:ascii="PMingLiU" w:hAnsi="PMingLiU" w:cs="PMingLiU" w:eastAsia="PMingLiU"/>
          <w:sz w:val="9"/>
          <w:szCs w:val="9"/>
        </w:rPr>
      </w:pPr>
    </w:p>
    <w:p>
      <w:pPr>
        <w:spacing w:line="260" w:lineRule="exact" w:before="0"/>
        <w:ind w:left="0" w:right="107" w:firstLine="0"/>
        <w:jc w:val="right"/>
        <w:rPr>
          <w:rFonts w:ascii="微软雅黑" w:hAnsi="微软雅黑" w:cs="微软雅黑" w:eastAsia="微软雅黑"/>
          <w:sz w:val="20"/>
          <w:szCs w:val="20"/>
        </w:rPr>
      </w:pPr>
      <w:r>
        <w:rPr>
          <w:rFonts w:ascii="微软雅黑"/>
          <w:color w:val="00AEEF"/>
          <w:sz w:val="20"/>
        </w:rPr>
        <w:t>BUSINESS</w:t>
      </w:r>
      <w:r>
        <w:rPr>
          <w:rFonts w:ascii="微软雅黑"/>
          <w:color w:val="00AEEF"/>
          <w:spacing w:val="-2"/>
          <w:sz w:val="20"/>
        </w:rPr>
        <w:t> </w:t>
      </w:r>
      <w:r>
        <w:rPr>
          <w:rFonts w:ascii="微软雅黑"/>
          <w:color w:val="00AEEF"/>
          <w:spacing w:val="-3"/>
          <w:sz w:val="20"/>
        </w:rPr>
        <w:t>CULTURE</w:t>
      </w:r>
      <w:r>
        <w:rPr>
          <w:rFonts w:ascii="微软雅黑"/>
          <w:sz w:val="20"/>
        </w:rPr>
      </w:r>
    </w:p>
    <w:p>
      <w:pPr>
        <w:spacing w:line="293" w:lineRule="exact" w:before="0"/>
        <w:ind w:left="0" w:right="107" w:firstLine="0"/>
        <w:jc w:val="right"/>
        <w:rPr>
          <w:rFonts w:ascii="微软雅黑" w:hAnsi="微软雅黑" w:cs="微软雅黑" w:eastAsia="微软雅黑"/>
          <w:sz w:val="20"/>
          <w:szCs w:val="20"/>
        </w:rPr>
      </w:pPr>
      <w:r>
        <w:rPr>
          <w:rFonts w:ascii="微软雅黑" w:hAnsi="微软雅黑" w:cs="微软雅黑" w:eastAsia="微软雅黑"/>
          <w:color w:val="00AEEF"/>
          <w:sz w:val="20"/>
          <w:szCs w:val="20"/>
        </w:rPr>
        <w:t>聚焦镜 . FOCUSING</w:t>
      </w:r>
      <w:r>
        <w:rPr>
          <w:rFonts w:ascii="微软雅黑" w:hAnsi="微软雅黑" w:cs="微软雅黑" w:eastAsia="微软雅黑"/>
          <w:color w:val="00AEEF"/>
          <w:spacing w:val="-3"/>
          <w:sz w:val="20"/>
          <w:szCs w:val="20"/>
        </w:rPr>
        <w:t> </w:t>
      </w:r>
      <w:r>
        <w:rPr>
          <w:rFonts w:ascii="微软雅黑" w:hAnsi="微软雅黑" w:cs="微软雅黑" w:eastAsia="微软雅黑"/>
          <w:color w:val="00AEEF"/>
          <w:sz w:val="20"/>
          <w:szCs w:val="20"/>
        </w:rPr>
        <w:t>MIRROR</w:t>
      </w:r>
      <w:r>
        <w:rPr>
          <w:rFonts w:ascii="微软雅黑" w:hAnsi="微软雅黑" w:cs="微软雅黑" w:eastAsia="微软雅黑"/>
          <w:sz w:val="20"/>
          <w:szCs w:val="20"/>
        </w:rPr>
      </w:r>
    </w:p>
    <w:p>
      <w:pPr>
        <w:spacing w:line="240" w:lineRule="auto" w:before="0"/>
        <w:rPr>
          <w:rFonts w:ascii="微软雅黑" w:hAnsi="微软雅黑" w:cs="微软雅黑" w:eastAsia="微软雅黑"/>
          <w:sz w:val="20"/>
          <w:szCs w:val="20"/>
        </w:rPr>
      </w:pPr>
    </w:p>
    <w:p>
      <w:pPr>
        <w:spacing w:after="0" w:line="240" w:lineRule="auto"/>
        <w:rPr>
          <w:rFonts w:ascii="微软雅黑" w:hAnsi="微软雅黑" w:cs="微软雅黑" w:eastAsia="微软雅黑"/>
          <w:sz w:val="20"/>
          <w:szCs w:val="20"/>
        </w:rPr>
        <w:sectPr>
          <w:pgSz w:w="11910" w:h="15600"/>
          <w:pgMar w:top="0" w:bottom="0" w:left="0" w:right="180"/>
        </w:sectPr>
      </w:pPr>
    </w:p>
    <w:p>
      <w:pPr>
        <w:spacing w:line="240" w:lineRule="auto" w:before="0"/>
        <w:rPr>
          <w:rFonts w:ascii="微软雅黑" w:hAnsi="微软雅黑" w:cs="微软雅黑" w:eastAsia="微软雅黑"/>
          <w:sz w:val="13"/>
          <w:szCs w:val="13"/>
        </w:rPr>
      </w:pPr>
    </w:p>
    <w:p>
      <w:pPr>
        <w:pStyle w:val="BodyText"/>
        <w:spacing w:line="324" w:lineRule="auto" w:before="0"/>
        <w:ind w:left="1360" w:right="71" w:firstLine="0"/>
        <w:jc w:val="both"/>
      </w:pPr>
      <w:r>
        <w:rPr>
          <w:color w:val="231F20"/>
          <w:spacing w:val="9"/>
        </w:rPr>
        <w:t>的聚合需要首先从顶层设计着手，打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破信息壁垒，消除信息孤岛，制定数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  <w:spacing w:val="9"/>
        </w:rPr>
        <w:t>据接口规则，并严格要求各部门在工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作过程中逐步实施到位。但是这一过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程必须考虑部门的特殊性，如公安系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8"/>
        </w:rPr>
        <w:t>统的数据具有一定敏感性，检察院、</w:t>
      </w:r>
      <w:r>
        <w:rPr>
          <w:color w:val="231F20"/>
          <w:spacing w:val="-30"/>
        </w:rPr>
        <w:t> </w:t>
      </w:r>
      <w:r>
        <w:rPr>
          <w:color w:val="231F20"/>
          <w:spacing w:val="-30"/>
        </w:rPr>
      </w:r>
      <w:r>
        <w:rPr>
          <w:color w:val="231F20"/>
          <w:spacing w:val="10"/>
        </w:rPr>
        <w:t>法院等执法部门的数据在一定阶段内</w:t>
      </w:r>
      <w:r>
        <w:rPr>
          <w:color w:val="231F20"/>
          <w:spacing w:val="10"/>
        </w:rPr>
        <w:t> </w:t>
      </w:r>
      <w:r>
        <w:rPr>
          <w:color w:val="231F20"/>
        </w:rPr>
        <w:t>属于工作秘密等。</w:t>
      </w:r>
      <w:r>
        <w:rPr/>
      </w:r>
    </w:p>
    <w:p>
      <w:pPr>
        <w:pStyle w:val="BodyText"/>
        <w:spacing w:line="324" w:lineRule="auto"/>
        <w:ind w:left="1360" w:right="71"/>
        <w:jc w:val="both"/>
      </w:pPr>
      <w:r>
        <w:rPr>
          <w:color w:val="231F20"/>
          <w:spacing w:val="8"/>
        </w:rPr>
        <w:t>二是实施元数据的标准化管理。</w:t>
      </w:r>
      <w:r>
        <w:rPr>
          <w:color w:val="231F20"/>
        </w:rPr>
        <w:t> </w:t>
      </w:r>
      <w:r>
        <w:rPr>
          <w:color w:val="231F20"/>
          <w:spacing w:val="10"/>
        </w:rPr>
        <w:t>元数据的产生和采集是整个资产管理</w:t>
      </w:r>
      <w:r>
        <w:rPr>
          <w:color w:val="231F20"/>
          <w:spacing w:val="10"/>
        </w:rPr>
        <w:t> </w:t>
      </w:r>
      <w:r>
        <w:rPr>
          <w:color w:val="231F20"/>
          <w:spacing w:val="9"/>
        </w:rPr>
        <w:t>实现的基础。同一数据在多个部门中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流通使用的，必须制定权责清晰的数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据生产和管理制度，按照一定标准规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则明确有关业务术语、统一的数据格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式，可以确保数据在跨平台、跨部门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</w:rPr>
        <w:t>中流通时的一致性。</w:t>
      </w:r>
      <w:r>
        <w:rPr/>
      </w:r>
    </w:p>
    <w:p>
      <w:pPr>
        <w:pStyle w:val="BodyText"/>
        <w:spacing w:line="324" w:lineRule="auto"/>
        <w:ind w:left="1360" w:right="0"/>
        <w:jc w:val="left"/>
      </w:pPr>
      <w:r>
        <w:rPr>
          <w:color w:val="231F20"/>
          <w:spacing w:val="9"/>
        </w:rPr>
        <w:t>三是资产分配与使用按权限层级 </w:t>
      </w:r>
      <w:r>
        <w:rPr>
          <w:color w:val="231F20"/>
          <w:spacing w:val="-6"/>
        </w:rPr>
        <w:t>管理。不同数据的所属、应用权限不同，</w:t>
      </w:r>
      <w:r>
        <w:rPr>
          <w:color w:val="231F20"/>
          <w:spacing w:val="-41"/>
        </w:rPr>
        <w:t> </w:t>
      </w:r>
      <w:r>
        <w:rPr>
          <w:color w:val="231F20"/>
          <w:spacing w:val="-41"/>
        </w:rPr>
      </w:r>
      <w:r>
        <w:rPr>
          <w:color w:val="231F20"/>
          <w:spacing w:val="9"/>
        </w:rPr>
        <w:t>在资产的分配、使用过程中必须进行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严格控制。借鉴传统资产管理中的盘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点分类技术，对数据资产定期进行统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计盘点，按照数据密集、生产领域、</w:t>
      </w:r>
      <w:r>
        <w:rPr>
          <w:color w:val="231F20"/>
        </w:rPr>
        <w:t> </w:t>
      </w:r>
      <w:r>
        <w:rPr>
          <w:color w:val="231F20"/>
          <w:spacing w:val="9"/>
        </w:rPr>
        <w:t>应用对象等类别，对数据进行分类和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标签管理。数据目录通过一定方式向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用户予以公开，以便从中发现更大的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</w:rPr>
        <w:t>价值。</w:t>
      </w:r>
      <w:r>
        <w:rPr/>
      </w:r>
    </w:p>
    <w:p>
      <w:pPr>
        <w:pStyle w:val="BodyText"/>
        <w:spacing w:line="324" w:lineRule="auto"/>
        <w:ind w:left="1360" w:right="71"/>
        <w:jc w:val="both"/>
      </w:pPr>
      <w:r>
        <w:rPr>
          <w:color w:val="231F20"/>
          <w:spacing w:val="8"/>
        </w:rPr>
        <w:t>四是完善配套制度和组织保障。</w:t>
      </w:r>
      <w:r>
        <w:rPr>
          <w:color w:val="231F20"/>
        </w:rPr>
        <w:t> </w:t>
      </w:r>
      <w:r>
        <w:rPr>
          <w:color w:val="231F20"/>
          <w:spacing w:val="9"/>
        </w:rPr>
        <w:t>政府数据资产管理，在制度层面包括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数据资产管理的主体、资产清单、获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  <w:spacing w:val="9"/>
        </w:rPr>
        <w:t>取方式、有关工作的规范等；在法律</w:t>
      </w:r>
      <w:r>
        <w:rPr/>
      </w:r>
    </w:p>
    <w:p>
      <w:pPr>
        <w:spacing w:line="240" w:lineRule="auto" w:before="2"/>
        <w:rPr>
          <w:rFonts w:ascii="PMingLiU" w:hAnsi="PMingLiU" w:cs="PMingLiU" w:eastAsia="PMingLiU"/>
          <w:sz w:val="17"/>
          <w:szCs w:val="17"/>
        </w:rPr>
      </w:pPr>
      <w:r>
        <w:rPr/>
        <w:br w:type="column"/>
      </w:r>
      <w:r>
        <w:rPr>
          <w:rFonts w:ascii="PMingLiU"/>
          <w:sz w:val="17"/>
        </w:rPr>
      </w:r>
    </w:p>
    <w:p>
      <w:pPr>
        <w:pStyle w:val="BodyText"/>
        <w:spacing w:line="324" w:lineRule="auto" w:before="0"/>
        <w:ind w:right="71" w:firstLine="0"/>
        <w:jc w:val="both"/>
      </w:pPr>
      <w:r>
        <w:rPr>
          <w:color w:val="231F20"/>
          <w:spacing w:val="-2"/>
        </w:rPr>
        <w:t>层面，包括数据开发使用的法律程序、</w:t>
      </w:r>
      <w:r>
        <w:rPr>
          <w:color w:val="231F20"/>
          <w:spacing w:val="-29"/>
        </w:rPr>
        <w:t> </w:t>
      </w:r>
      <w:r>
        <w:rPr>
          <w:color w:val="231F20"/>
          <w:spacing w:val="-29"/>
        </w:rPr>
      </w:r>
      <w:r>
        <w:rPr>
          <w:color w:val="231F20"/>
          <w:spacing w:val="9"/>
        </w:rPr>
        <w:t>有关数据保密的协议、违法行为的处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理等。从组织保障上讲，需要明确牵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  <w:spacing w:val="9"/>
        </w:rPr>
        <w:t>头负责机构，做好人员技术培训、考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  <w:spacing w:val="9"/>
        </w:rPr>
        <w:t>核评估，为数据资产管理提供坚实的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</w:rPr>
        <w:t>组织保障。</w:t>
      </w:r>
      <w:r>
        <w:rPr/>
      </w:r>
    </w:p>
    <w:p>
      <w:pPr>
        <w:pStyle w:val="BodyText"/>
        <w:spacing w:line="324" w:lineRule="auto"/>
        <w:ind w:right="0"/>
        <w:jc w:val="left"/>
      </w:pPr>
      <w:r>
        <w:rPr>
          <w:color w:val="231F20"/>
          <w:spacing w:val="9"/>
        </w:rPr>
        <w:t>五是数据资产的价值应用。资产</w:t>
      </w:r>
      <w:r>
        <w:rPr>
          <w:color w:val="231F20"/>
          <w:spacing w:val="10"/>
        </w:rPr>
        <w:t> </w:t>
      </w:r>
      <w:r>
        <w:rPr>
          <w:color w:val="231F20"/>
          <w:spacing w:val="3"/>
        </w:rPr>
        <w:t>评估是传统资产管理的重要内容之一，</w:t>
      </w:r>
      <w:r>
        <w:rPr>
          <w:color w:val="231F20"/>
          <w:spacing w:val="-36"/>
        </w:rPr>
        <w:t> </w:t>
      </w:r>
      <w:r>
        <w:rPr>
          <w:color w:val="231F20"/>
          <w:spacing w:val="-36"/>
        </w:rPr>
      </w:r>
      <w:r>
        <w:rPr>
          <w:color w:val="231F20"/>
          <w:spacing w:val="9"/>
        </w:rPr>
        <w:t>然而政府管理公益性的特殊属性，使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10"/>
        </w:rPr>
        <w:t>得政府数据资产的估值并非所有者和 </w:t>
      </w:r>
      <w:r>
        <w:rPr>
          <w:color w:val="231F20"/>
          <w:spacing w:val="9"/>
        </w:rPr>
        <w:t>使用者关注的重点。政府部门在数据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的综合利方面往往存在短板，为了发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现数据中隐藏的规律，促进行政管理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和服务水平，有必要引进第三方机构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对数据的价值进行萃取，也鼓励利益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8"/>
        </w:rPr>
        <w:t>相关方利用数据资产创新服务内容，</w:t>
      </w:r>
      <w:r>
        <w:rPr>
          <w:color w:val="231F20"/>
          <w:spacing w:val="-33"/>
        </w:rPr>
        <w:t> </w:t>
      </w:r>
      <w:r>
        <w:rPr>
          <w:color w:val="231F20"/>
          <w:spacing w:val="-33"/>
        </w:rPr>
      </w:r>
      <w:r>
        <w:rPr>
          <w:color w:val="231F20"/>
        </w:rPr>
        <w:t>满足人民群众日益增强的服务期望。</w:t>
      </w:r>
      <w:r>
        <w:rPr/>
      </w:r>
    </w:p>
    <w:p>
      <w:pPr>
        <w:pStyle w:val="BodyText"/>
        <w:spacing w:line="324" w:lineRule="auto"/>
        <w:ind w:right="71"/>
        <w:jc w:val="both"/>
      </w:pPr>
      <w:r>
        <w:rPr>
          <w:color w:val="231F20"/>
          <w:spacing w:val="9"/>
        </w:rPr>
        <w:t>六是研究并创新用户需求，推进</w:t>
      </w:r>
      <w:r>
        <w:rPr>
          <w:color w:val="231F20"/>
          <w:spacing w:val="10"/>
        </w:rPr>
        <w:t> </w:t>
      </w:r>
      <w:r>
        <w:rPr>
          <w:color w:val="231F20"/>
          <w:spacing w:val="9"/>
        </w:rPr>
        <w:t>数据资产高效利用。和传统的资产特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性有所不同，数据资产的价值体现在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发掘和使用，价值发掘得越多，数据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  <w:spacing w:val="9"/>
        </w:rPr>
        <w:t>资产的利用率才越高。政府的行业主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10"/>
        </w:rPr>
        <w:t>管部门和第三方机构对于市场主体提 </w:t>
      </w:r>
      <w:r>
        <w:rPr>
          <w:color w:val="231F20"/>
          <w:spacing w:val="9"/>
        </w:rPr>
        <w:t>出的数据需求，在满足使用原则的情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况下，通过开放接口的方式提供数据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共享，丰富企业的数据维度，全面掌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  <w:spacing w:val="9"/>
        </w:rPr>
        <w:t>握数据的规律，将此前抽样数据分析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方法拓展为全局大数据分析，利用长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尾理论等发现潜在价值，最终通过创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新方式和手段重构产品服务，获取利</w:t>
      </w:r>
      <w:r>
        <w:rPr/>
      </w:r>
    </w:p>
    <w:p>
      <w:pPr>
        <w:spacing w:line="240" w:lineRule="auto" w:before="2"/>
        <w:rPr>
          <w:rFonts w:ascii="PMingLiU" w:hAnsi="PMingLiU" w:cs="PMingLiU" w:eastAsia="PMingLiU"/>
          <w:sz w:val="17"/>
          <w:szCs w:val="17"/>
        </w:rPr>
      </w:pPr>
      <w:r>
        <w:rPr/>
        <w:br w:type="column"/>
      </w:r>
      <w:r>
        <w:rPr>
          <w:rFonts w:ascii="PMingLiU"/>
          <w:sz w:val="17"/>
        </w:rPr>
      </w:r>
    </w:p>
    <w:p>
      <w:pPr>
        <w:pStyle w:val="BodyText"/>
        <w:spacing w:line="240" w:lineRule="auto" w:before="0"/>
        <w:ind w:left="139" w:right="1311" w:firstLine="0"/>
        <w:jc w:val="center"/>
      </w:pPr>
      <w:r>
        <w:rPr>
          <w:color w:val="231F20"/>
        </w:rPr>
        <w:t>润的同时也实现了数据资产的增值。</w:t>
      </w:r>
      <w:r>
        <w:rPr/>
      </w:r>
    </w:p>
    <w:p>
      <w:pPr>
        <w:spacing w:line="240" w:lineRule="auto" w:before="6"/>
        <w:rPr>
          <w:rFonts w:ascii="PMingLiU" w:hAnsi="PMingLiU" w:cs="PMingLiU" w:eastAsia="PMingLiU"/>
          <w:sz w:val="15"/>
          <w:szCs w:val="15"/>
        </w:rPr>
      </w:pPr>
    </w:p>
    <w:p>
      <w:pPr>
        <w:pStyle w:val="Heading2"/>
        <w:spacing w:line="240" w:lineRule="auto" w:before="0"/>
        <w:ind w:left="139" w:right="1159"/>
        <w:jc w:val="center"/>
      </w:pPr>
      <w:r>
        <w:rPr>
          <w:color w:val="0CC2EE"/>
        </w:rPr>
        <w:t>总结和展望</w:t>
      </w:r>
      <w:r>
        <w:rPr/>
      </w:r>
    </w:p>
    <w:p>
      <w:pPr>
        <w:pStyle w:val="BodyText"/>
        <w:spacing w:line="340" w:lineRule="auto" w:before="135"/>
        <w:ind w:right="1166"/>
        <w:jc w:val="both"/>
      </w:pPr>
      <w:r>
        <w:rPr>
          <w:color w:val="231F20"/>
          <w:spacing w:val="9"/>
        </w:rPr>
        <w:t>将数据作为政府的一项资产进行 管理，既能够有效的收集、整理业务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  <w:spacing w:val="9"/>
        </w:rPr>
        <w:t>数据提升原数据的质量，又能组织第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三方机构对现有数据进行挖潜，提升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政府服务水平。这一过程最重要的是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-2"/>
        </w:rPr>
        <w:t>顶层设计，包括构建统一的数据视图，</w:t>
      </w:r>
      <w:r>
        <w:rPr>
          <w:color w:val="231F20"/>
          <w:spacing w:val="-29"/>
        </w:rPr>
        <w:t> </w:t>
      </w:r>
      <w:r>
        <w:rPr>
          <w:color w:val="231F20"/>
          <w:spacing w:val="-29"/>
        </w:rPr>
      </w:r>
      <w:r>
        <w:rPr>
          <w:color w:val="231F20"/>
          <w:spacing w:val="9"/>
        </w:rPr>
        <w:t>数据之间实现可交换；对影响数据质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-2"/>
        </w:rPr>
        <w:t>量的元数据进行标准化的要求和管理；</w:t>
      </w:r>
      <w:r>
        <w:rPr>
          <w:color w:val="231F20"/>
          <w:spacing w:val="-29"/>
        </w:rPr>
        <w:t> </w:t>
      </w:r>
      <w:r>
        <w:rPr>
          <w:color w:val="231F20"/>
          <w:spacing w:val="-29"/>
        </w:rPr>
      </w:r>
      <w:r>
        <w:rPr>
          <w:color w:val="231F20"/>
          <w:spacing w:val="9"/>
        </w:rPr>
        <w:t>按层级分类实施严格管理；从制度规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章、法律风险等方面对机制运行予以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</w:rPr>
        <w:t>保障。</w:t>
      </w:r>
      <w:r>
        <w:rPr/>
      </w:r>
    </w:p>
    <w:p>
      <w:pPr>
        <w:pStyle w:val="BodyText"/>
        <w:spacing w:line="340" w:lineRule="auto" w:before="22"/>
        <w:ind w:right="1166"/>
        <w:jc w:val="both"/>
      </w:pPr>
      <w:r>
        <w:rPr/>
        <w:pict>
          <v:group style="position:absolute;margin-left:460.622498pt;margin-top:145.837372pt;width:8.25pt;height:7.65pt;mso-position-horizontal-relative:page;mso-position-vertical-relative:paragraph;z-index:-4096" coordorigin="9212,2917" coordsize="165,153">
            <v:shape style="position:absolute;left:9212;top:2917;width:165;height:153" coordorigin="9212,2917" coordsize="165,153" path="m9377,2973l9377,2917,9212,2917,9212,3069,9377,3069,9377,3017e" filled="false" stroked="true" strokeweight="1.0pt" strokecolor="#ba1319">
              <v:path arrowok="t"/>
            </v:shape>
            <w10:wrap type="none"/>
          </v:group>
        </w:pict>
      </w:r>
      <w:r>
        <w:rPr>
          <w:color w:val="231F20"/>
          <w:spacing w:val="9"/>
        </w:rPr>
        <w:t>下一步工作一是要规范完善数据 的采集工作，数据是数据资产产生价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值的核心和依托，要不断完善数据目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录，检视数据标准，更好地发挥数据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  <w:spacing w:val="9"/>
        </w:rPr>
        <w:t>资产的价值；二是强化数据挖掘成果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的应用，综合运用各种数据资源，研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  <w:spacing w:val="9"/>
        </w:rPr>
        <w:t>究采用复杂的计算模型，对数据进行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  <w:spacing w:val="9"/>
        </w:rPr>
        <w:t>多层次、多维度的分析，为行政管理</w:t>
      </w:r>
      <w:r>
        <w:rPr>
          <w:color w:val="231F20"/>
          <w:spacing w:val="-35"/>
        </w:rPr>
        <w:t> </w:t>
      </w:r>
      <w:r>
        <w:rPr>
          <w:color w:val="231F20"/>
          <w:spacing w:val="-35"/>
        </w:rPr>
      </w:r>
      <w:r>
        <w:rPr>
          <w:color w:val="231F20"/>
          <w:spacing w:val="9"/>
        </w:rPr>
        <w:t>提供最佳解决方案或者决策辅助，真</w:t>
      </w:r>
      <w:r>
        <w:rPr>
          <w:color w:val="231F20"/>
          <w:spacing w:val="-39"/>
        </w:rPr>
        <w:t> </w:t>
      </w:r>
      <w:r>
        <w:rPr>
          <w:color w:val="231F20"/>
          <w:spacing w:val="-39"/>
        </w:rPr>
      </w:r>
      <w:r>
        <w:rPr>
          <w:color w:val="231F20"/>
        </w:rPr>
        <w:t>正实现资产的价值。</w:t>
      </w:r>
      <w:r>
        <w:rPr/>
      </w:r>
    </w:p>
    <w:p>
      <w:pPr>
        <w:pStyle w:val="BodyText"/>
        <w:spacing w:line="340" w:lineRule="auto" w:before="11"/>
        <w:ind w:right="1166"/>
        <w:jc w:val="both"/>
        <w:rPr>
          <w:rFonts w:ascii="宋体" w:hAnsi="宋体" w:cs="宋体" w:eastAsia="宋体"/>
        </w:rPr>
      </w:pPr>
      <w:r>
        <w:rPr>
          <w:rFonts w:ascii="宋体" w:hAnsi="宋体" w:cs="宋体" w:eastAsia="宋体"/>
          <w:color w:val="231F20"/>
          <w:spacing w:val="9"/>
          <w:w w:val="105"/>
        </w:rPr>
        <w:t>本课题为襄阳市</w:t>
      </w:r>
      <w:r>
        <w:rPr>
          <w:rFonts w:ascii="宋体" w:hAnsi="宋体" w:cs="宋体" w:eastAsia="宋体"/>
          <w:color w:val="231F20"/>
          <w:spacing w:val="-48"/>
          <w:w w:val="105"/>
        </w:rPr>
        <w:t> </w:t>
      </w:r>
      <w:r>
        <w:rPr>
          <w:rFonts w:ascii="宋体" w:hAnsi="宋体" w:cs="宋体" w:eastAsia="宋体"/>
          <w:color w:val="231F20"/>
          <w:w w:val="105"/>
        </w:rPr>
        <w:t>2019</w:t>
      </w:r>
      <w:r>
        <w:rPr>
          <w:rFonts w:ascii="宋体" w:hAnsi="宋体" w:cs="宋体" w:eastAsia="宋体"/>
          <w:color w:val="231F20"/>
          <w:spacing w:val="-48"/>
          <w:w w:val="105"/>
        </w:rPr>
        <w:t> </w:t>
      </w:r>
      <w:r>
        <w:rPr>
          <w:rFonts w:ascii="宋体" w:hAnsi="宋体" w:cs="宋体" w:eastAsia="宋体"/>
          <w:color w:val="231F20"/>
          <w:spacing w:val="11"/>
          <w:w w:val="105"/>
        </w:rPr>
        <w:t>年度市级</w:t>
      </w:r>
      <w:r>
        <w:rPr>
          <w:rFonts w:ascii="宋体" w:hAnsi="宋体" w:cs="宋体" w:eastAsia="宋体"/>
          <w:color w:val="231F20"/>
          <w:spacing w:val="11"/>
        </w:rPr>
        <w:t> </w:t>
      </w:r>
      <w:r>
        <w:rPr>
          <w:rFonts w:ascii="宋体" w:hAnsi="宋体" w:cs="宋体" w:eastAsia="宋体"/>
          <w:color w:val="231F20"/>
          <w:spacing w:val="9"/>
        </w:rPr>
        <w:t>软科学研究计划指导性项目“襄阳市</w:t>
      </w:r>
      <w:r>
        <w:rPr>
          <w:rFonts w:ascii="宋体" w:hAnsi="宋体" w:cs="宋体" w:eastAsia="宋体"/>
          <w:color w:val="231F20"/>
          <w:spacing w:val="-79"/>
        </w:rPr>
        <w:t> </w:t>
      </w:r>
      <w:r>
        <w:rPr>
          <w:rFonts w:ascii="宋体" w:hAnsi="宋体" w:cs="宋体" w:eastAsia="宋体"/>
          <w:color w:val="231F20"/>
          <w:spacing w:val="-79"/>
        </w:rPr>
      </w:r>
      <w:r>
        <w:rPr>
          <w:rFonts w:ascii="宋体" w:hAnsi="宋体" w:cs="宋体" w:eastAsia="宋体"/>
          <w:color w:val="231F20"/>
          <w:spacing w:val="9"/>
        </w:rPr>
        <w:t>政府数据资产登记制度研究”项目的</w:t>
      </w:r>
      <w:r>
        <w:rPr>
          <w:rFonts w:ascii="宋体" w:hAnsi="宋体" w:cs="宋体" w:eastAsia="宋体"/>
          <w:color w:val="231F20"/>
          <w:spacing w:val="-74"/>
        </w:rPr>
        <w:t> </w:t>
      </w:r>
      <w:r>
        <w:rPr>
          <w:rFonts w:ascii="宋体" w:hAnsi="宋体" w:cs="宋体" w:eastAsia="宋体"/>
          <w:color w:val="231F20"/>
          <w:spacing w:val="-74"/>
        </w:rPr>
      </w:r>
      <w:r>
        <w:rPr>
          <w:rFonts w:ascii="宋体" w:hAnsi="宋体" w:cs="宋体" w:eastAsia="宋体"/>
          <w:color w:val="231F20"/>
          <w:w w:val="105"/>
        </w:rPr>
        <w:t>研究成果。</w:t>
      </w:r>
      <w:r>
        <w:rPr>
          <w:rFonts w:ascii="宋体" w:hAnsi="宋体" w:cs="宋体" w:eastAsia="宋体"/>
          <w:w w:val="105"/>
        </w:rPr>
      </w:r>
    </w:p>
    <w:p>
      <w:pPr>
        <w:pStyle w:val="BodyText"/>
        <w:spacing w:line="240" w:lineRule="auto" w:before="22"/>
        <w:ind w:left="990" w:right="0" w:firstLine="0"/>
        <w:jc w:val="left"/>
        <w:rPr>
          <w:rFonts w:ascii="宋体" w:hAnsi="宋体" w:cs="宋体" w:eastAsia="宋体"/>
        </w:rPr>
      </w:pPr>
      <w:r>
        <w:rPr>
          <w:rFonts w:ascii="宋体" w:hAnsi="宋体" w:cs="宋体" w:eastAsia="宋体"/>
          <w:color w:val="231F20"/>
        </w:rPr>
        <w:t>（湖北文理学院理工学院）</w:t>
      </w:r>
      <w:r>
        <w:rPr>
          <w:rFonts w:ascii="宋体" w:hAnsi="宋体" w:cs="宋体" w:eastAsia="宋体"/>
        </w:rPr>
      </w:r>
    </w:p>
    <w:p>
      <w:pPr>
        <w:spacing w:after="0" w:line="240" w:lineRule="auto"/>
        <w:jc w:val="left"/>
        <w:rPr>
          <w:rFonts w:ascii="宋体" w:hAnsi="宋体" w:cs="宋体" w:eastAsia="宋体"/>
        </w:rPr>
        <w:sectPr>
          <w:type w:val="continuous"/>
          <w:pgSz w:w="11910" w:h="15600"/>
          <w:pgMar w:top="0" w:bottom="0" w:left="0" w:right="180"/>
          <w:cols w:num="3" w:equalWidth="0">
            <w:col w:w="4319" w:space="40"/>
            <w:col w:w="3116" w:space="40"/>
            <w:col w:w="4215"/>
          </w:cols>
        </w:sectPr>
      </w:pPr>
    </w:p>
    <w:p>
      <w:pPr>
        <w:spacing w:line="240" w:lineRule="auto" w:before="7"/>
        <w:rPr>
          <w:rFonts w:ascii="宋体" w:hAnsi="宋体" w:cs="宋体" w:eastAsia="宋体"/>
          <w:sz w:val="5"/>
          <w:szCs w:val="5"/>
        </w:rPr>
      </w:pPr>
    </w:p>
    <w:p>
      <w:pPr>
        <w:spacing w:line="3311" w:lineRule="exact"/>
        <w:ind w:left="1360" w:right="0" w:firstLine="0"/>
        <w:rPr>
          <w:rFonts w:ascii="宋体" w:hAnsi="宋体" w:cs="宋体" w:eastAsia="宋体"/>
          <w:sz w:val="20"/>
          <w:szCs w:val="20"/>
        </w:rPr>
      </w:pPr>
      <w:r>
        <w:rPr>
          <w:rFonts w:ascii="宋体" w:hAnsi="宋体" w:cs="宋体" w:eastAsia="宋体"/>
          <w:position w:val="-65"/>
          <w:sz w:val="20"/>
          <w:szCs w:val="20"/>
        </w:rPr>
        <w:drawing>
          <wp:inline distT="0" distB="0" distL="0" distR="0">
            <wp:extent cx="5773095" cy="2102548"/>
            <wp:effectExtent l="0" t="0" r="0" b="0"/>
            <wp:docPr id="3" name="image3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3095" cy="2102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 w:eastAsia="宋体"/>
          <w:position w:val="-65"/>
          <w:sz w:val="20"/>
          <w:szCs w:val="20"/>
        </w:rPr>
      </w:r>
    </w:p>
    <w:p>
      <w:pPr>
        <w:spacing w:line="240" w:lineRule="auto" w:before="0"/>
        <w:rPr>
          <w:rFonts w:ascii="宋体" w:hAnsi="宋体" w:cs="宋体" w:eastAsia="宋体"/>
          <w:sz w:val="20"/>
          <w:szCs w:val="20"/>
        </w:rPr>
      </w:pPr>
    </w:p>
    <w:p>
      <w:pPr>
        <w:spacing w:line="240" w:lineRule="auto" w:before="0"/>
        <w:rPr>
          <w:rFonts w:ascii="宋体" w:hAnsi="宋体" w:cs="宋体" w:eastAsia="宋体"/>
          <w:sz w:val="20"/>
          <w:szCs w:val="20"/>
        </w:rPr>
      </w:pPr>
    </w:p>
    <w:p>
      <w:pPr>
        <w:spacing w:line="240" w:lineRule="auto" w:before="8"/>
        <w:rPr>
          <w:rFonts w:ascii="宋体" w:hAnsi="宋体" w:cs="宋体" w:eastAsia="宋体"/>
          <w:sz w:val="13"/>
          <w:szCs w:val="13"/>
        </w:rPr>
      </w:pPr>
    </w:p>
    <w:p>
      <w:pPr>
        <w:spacing w:line="161" w:lineRule="exact" w:before="0"/>
        <w:ind w:left="0" w:right="613" w:firstLine="0"/>
        <w:jc w:val="right"/>
        <w:rPr>
          <w:rFonts w:ascii="微软雅黑" w:hAnsi="微软雅黑" w:cs="微软雅黑" w:eastAsia="微软雅黑"/>
          <w:sz w:val="12"/>
          <w:szCs w:val="12"/>
        </w:rPr>
      </w:pPr>
      <w:r>
        <w:rPr/>
        <w:pict>
          <v:group style="position:absolute;margin-left:558.458679pt;margin-top:3.223969pt;width:.5pt;height:11.6pt;mso-position-horizontal-relative:page;mso-position-vertical-relative:paragraph;z-index:1144" coordorigin="11169,64" coordsize="10,232">
            <v:group style="position:absolute;left:11174;top:69;width:2;height:222" coordorigin="11174,69" coordsize="2,222">
              <v:shape style="position:absolute;left:11174;top:69;width:2;height:222" coordorigin="11174,69" coordsize="0,222" path="m11174,69l11174,291e" filled="false" stroked="true" strokeweight=".5pt" strokecolor="#231f20">
                <v:path arrowok="t"/>
              </v:shape>
            </v:group>
            <v:group style="position:absolute;left:11174;top:69;width:2;height:222" coordorigin="11174,69" coordsize="2,222">
              <v:shape style="position:absolute;left:11174;top:69;width:2;height:222" coordorigin="11174,69" coordsize="0,222" path="m11174,69l11174,291e" filled="false" stroked="true" strokeweight=".5pt" strokecolor="#231f20">
                <v:path arrowok="t"/>
              </v:shape>
            </v:group>
            <w10:wrap type="none"/>
          </v:group>
        </w:pict>
      </w:r>
      <w:r>
        <w:rPr/>
        <w:pict>
          <v:shape style="position:absolute;margin-left:563.293091pt;margin-top:4.579054pt;width:13.2pt;height:11pt;mso-position-horizontal-relative:page;mso-position-vertical-relative:paragraph;z-index:1240" type="#_x0000_t202" filled="false" stroked="false">
            <v:textbox inset="0,0,0,0">
              <w:txbxContent>
                <w:p>
                  <w:pPr>
                    <w:spacing w:line="220" w:lineRule="exact" w:before="0"/>
                    <w:ind w:left="0" w:right="0" w:firstLine="0"/>
                    <w:jc w:val="left"/>
                    <w:rPr>
                      <w:rFonts w:ascii="Courier New" w:hAnsi="Courier New" w:cs="Courier New" w:eastAsia="Courier New"/>
                      <w:sz w:val="22"/>
                      <w:szCs w:val="22"/>
                    </w:rPr>
                  </w:pPr>
                  <w:r>
                    <w:rPr>
                      <w:rFonts w:ascii="Courier New"/>
                      <w:color w:val="231F20"/>
                      <w:sz w:val="22"/>
                    </w:rPr>
                    <w:t>41</w:t>
                  </w:r>
                  <w:r>
                    <w:rPr>
                      <w:rFonts w:ascii="Courier New"/>
                      <w:sz w:val="22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微软雅黑"/>
          <w:color w:val="231F20"/>
          <w:spacing w:val="-33"/>
          <w:sz w:val="12"/>
        </w:rPr>
        <w:t>2</w:t>
      </w:r>
      <w:r>
        <w:rPr>
          <w:rFonts w:ascii="微软雅黑"/>
          <w:color w:val="231F20"/>
          <w:spacing w:val="-33"/>
          <w:sz w:val="12"/>
        </w:rPr>
        <w:t>2</w:t>
      </w:r>
      <w:r>
        <w:rPr>
          <w:rFonts w:ascii="微软雅黑"/>
          <w:color w:val="231F20"/>
          <w:spacing w:val="-33"/>
          <w:sz w:val="12"/>
        </w:rPr>
        <w:t>0</w:t>
      </w:r>
      <w:r>
        <w:rPr>
          <w:rFonts w:ascii="微软雅黑"/>
          <w:color w:val="231F20"/>
          <w:spacing w:val="-33"/>
          <w:sz w:val="12"/>
        </w:rPr>
        <w:t>0</w:t>
      </w:r>
      <w:r>
        <w:rPr>
          <w:rFonts w:ascii="微软雅黑"/>
          <w:color w:val="231F20"/>
          <w:spacing w:val="-33"/>
          <w:sz w:val="12"/>
        </w:rPr>
        <w:t>2</w:t>
      </w:r>
      <w:r>
        <w:rPr>
          <w:rFonts w:ascii="微软雅黑"/>
          <w:color w:val="231F20"/>
          <w:spacing w:val="-33"/>
          <w:sz w:val="12"/>
        </w:rPr>
        <w:t>2</w:t>
      </w:r>
      <w:r>
        <w:rPr>
          <w:rFonts w:ascii="微软雅黑"/>
          <w:color w:val="231F20"/>
          <w:spacing w:val="-33"/>
          <w:sz w:val="12"/>
        </w:rPr>
        <w:t>0</w:t>
      </w:r>
      <w:r>
        <w:rPr>
          <w:rFonts w:ascii="微软雅黑"/>
          <w:color w:val="231F20"/>
          <w:spacing w:val="-33"/>
          <w:sz w:val="12"/>
        </w:rPr>
        <w:t>0</w:t>
      </w:r>
      <w:r>
        <w:rPr>
          <w:rFonts w:ascii="微软雅黑"/>
          <w:color w:val="231F20"/>
          <w:spacing w:val="-33"/>
          <w:sz w:val="12"/>
        </w:rPr>
        <w:t>.</w:t>
      </w:r>
      <w:r>
        <w:rPr>
          <w:rFonts w:ascii="微软雅黑"/>
          <w:color w:val="231F20"/>
          <w:spacing w:val="-33"/>
          <w:sz w:val="12"/>
        </w:rPr>
        <w:t>.</w:t>
      </w:r>
      <w:r>
        <w:rPr>
          <w:rFonts w:ascii="微软雅黑"/>
          <w:color w:val="231F20"/>
          <w:spacing w:val="-33"/>
          <w:sz w:val="12"/>
        </w:rPr>
        <w:t>0</w:t>
      </w:r>
      <w:r>
        <w:rPr>
          <w:rFonts w:ascii="微软雅黑"/>
          <w:color w:val="231F20"/>
          <w:spacing w:val="-33"/>
          <w:sz w:val="12"/>
        </w:rPr>
        <w:t>0</w:t>
      </w:r>
      <w:r>
        <w:rPr>
          <w:rFonts w:ascii="微软雅黑"/>
          <w:color w:val="231F20"/>
          <w:spacing w:val="-33"/>
          <w:sz w:val="12"/>
        </w:rPr>
        <w:t>7</w:t>
      </w:r>
      <w:r>
        <w:rPr>
          <w:rFonts w:ascii="微软雅黑"/>
          <w:color w:val="231F20"/>
          <w:spacing w:val="-33"/>
          <w:sz w:val="12"/>
        </w:rPr>
        <w:t>7</w:t>
      </w:r>
      <w:r>
        <w:rPr>
          <w:rFonts w:ascii="微软雅黑"/>
          <w:spacing w:val="-33"/>
          <w:sz w:val="12"/>
        </w:rPr>
      </w:r>
    </w:p>
    <w:p>
      <w:pPr>
        <w:spacing w:line="161" w:lineRule="exact" w:before="0"/>
        <w:ind w:left="0" w:right="608" w:firstLine="0"/>
        <w:jc w:val="right"/>
        <w:rPr>
          <w:rFonts w:ascii="微软雅黑" w:hAnsi="微软雅黑" w:cs="微软雅黑" w:eastAsia="微软雅黑"/>
          <w:sz w:val="12"/>
          <w:szCs w:val="12"/>
        </w:rPr>
      </w:pPr>
      <w:r>
        <w:rPr/>
        <w:pict>
          <v:shape style="position:absolute;margin-left:410.700012pt;margin-top:2.016828pt;width:85.2pt;height:9.7pt;mso-position-horizontal-relative:page;mso-position-vertical-relative:paragraph;z-index:1192" type="#_x0000_t75" stroked="false">
            <v:imagedata r:id="rId6" o:title=""/>
          </v:shape>
        </w:pict>
      </w:r>
      <w:r>
        <w:rPr/>
        <w:pict>
          <v:shape style="position:absolute;margin-left:20.403175pt;margin-top:2.016828pt;width:378.896825pt;height:9.7pt;mso-position-horizontal-relative:page;mso-position-vertical-relative:paragraph;z-index:1216" type="#_x0000_t75" stroked="false">
            <v:imagedata r:id="rId5" o:title=""/>
          </v:shape>
        </w:pict>
      </w:r>
      <w:r>
        <w:rPr>
          <w:rFonts w:ascii="微软雅黑"/>
          <w:color w:val="231F20"/>
          <w:spacing w:val="-36"/>
          <w:sz w:val="12"/>
        </w:rPr>
        <w:t>N</w:t>
      </w:r>
      <w:r>
        <w:rPr>
          <w:rFonts w:ascii="微软雅黑"/>
          <w:color w:val="231F20"/>
          <w:spacing w:val="-36"/>
          <w:sz w:val="12"/>
        </w:rPr>
        <w:t>N</w:t>
      </w:r>
      <w:r>
        <w:rPr>
          <w:rFonts w:ascii="微软雅黑"/>
          <w:color w:val="231F20"/>
          <w:spacing w:val="-36"/>
          <w:sz w:val="12"/>
        </w:rPr>
        <w:t>O</w:t>
      </w:r>
      <w:r>
        <w:rPr>
          <w:rFonts w:ascii="微软雅黑"/>
          <w:color w:val="231F20"/>
          <w:spacing w:val="-36"/>
          <w:sz w:val="12"/>
        </w:rPr>
        <w:t>O</w:t>
      </w:r>
      <w:r>
        <w:rPr>
          <w:rFonts w:ascii="微软雅黑"/>
          <w:color w:val="231F20"/>
          <w:spacing w:val="-36"/>
          <w:sz w:val="12"/>
        </w:rPr>
        <w:t>.</w:t>
      </w:r>
      <w:r>
        <w:rPr>
          <w:rFonts w:ascii="微软雅黑"/>
          <w:color w:val="231F20"/>
          <w:spacing w:val="-36"/>
          <w:sz w:val="12"/>
        </w:rPr>
        <w:t>.</w:t>
      </w:r>
      <w:r>
        <w:rPr>
          <w:rFonts w:ascii="微软雅黑"/>
          <w:color w:val="231F20"/>
          <w:spacing w:val="-36"/>
          <w:sz w:val="12"/>
        </w:rPr>
        <w:t>4</w:t>
      </w:r>
      <w:r>
        <w:rPr>
          <w:rFonts w:ascii="微软雅黑"/>
          <w:color w:val="231F20"/>
          <w:spacing w:val="-36"/>
          <w:sz w:val="12"/>
        </w:rPr>
        <w:t>4</w:t>
      </w:r>
      <w:r>
        <w:rPr>
          <w:rFonts w:ascii="微软雅黑"/>
          <w:color w:val="231F20"/>
          <w:spacing w:val="-36"/>
          <w:sz w:val="12"/>
        </w:rPr>
        <w:t>7</w:t>
      </w:r>
      <w:r>
        <w:rPr>
          <w:rFonts w:ascii="微软雅黑"/>
          <w:color w:val="231F20"/>
          <w:spacing w:val="-36"/>
          <w:sz w:val="12"/>
        </w:rPr>
        <w:t>7</w:t>
      </w:r>
      <w:r>
        <w:rPr>
          <w:rFonts w:ascii="微软雅黑"/>
          <w:color w:val="231F20"/>
          <w:spacing w:val="-36"/>
          <w:sz w:val="12"/>
        </w:rPr>
        <w:t>3</w:t>
      </w:r>
      <w:r>
        <w:rPr>
          <w:rFonts w:ascii="微软雅黑"/>
          <w:color w:val="231F20"/>
          <w:spacing w:val="-36"/>
          <w:sz w:val="12"/>
        </w:rPr>
        <w:t>3</w:t>
      </w:r>
      <w:r>
        <w:rPr>
          <w:rFonts w:ascii="微软雅黑"/>
          <w:sz w:val="12"/>
        </w:rPr>
      </w:r>
    </w:p>
    <w:sectPr>
      <w:type w:val="continuous"/>
      <w:pgSz w:w="11910" w:h="15600"/>
      <w:pgMar w:top="0" w:bottom="0" w:left="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微软雅黑">
    <w:altName w:val="微软雅黑"/>
    <w:charset w:val="86"/>
    <w:family w:val="swiss"/>
    <w:pitch w:val="variable"/>
  </w:font>
  <w:font w:name="Courier New">
    <w:altName w:val="Courier New"/>
    <w:charset w:val="0"/>
    <w:family w:val="modern"/>
    <w:pitch w:val="fixed"/>
  </w:font>
  <w:font w:name="宋体">
    <w:altName w:val="宋体"/>
    <w:charset w:val="86"/>
    <w:family w:val="auto"/>
    <w:pitch w:val="variable"/>
  </w:font>
  <w:font w:name="PMingLiU">
    <w:altName w:val="PMingLiU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8"/>
      <w:ind w:left="158" w:firstLine="368"/>
    </w:pPr>
    <w:rPr>
      <w:rFonts w:ascii="PMingLiU" w:hAnsi="PMingLiU" w:eastAsia="PMingLiU"/>
      <w:sz w:val="17"/>
      <w:szCs w:val="17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微软雅黑" w:hAnsi="微软雅黑" w:eastAsia="微软雅黑"/>
      <w:sz w:val="20"/>
      <w:szCs w:val="20"/>
    </w:rPr>
  </w:style>
  <w:style w:styleId="Heading2" w:type="paragraph">
    <w:name w:val="Heading 2"/>
    <w:basedOn w:val="Normal"/>
    <w:uiPriority w:val="1"/>
    <w:qFormat/>
    <w:pPr>
      <w:spacing w:before="128"/>
      <w:ind w:left="359"/>
      <w:outlineLvl w:val="2"/>
    </w:pPr>
    <w:rPr>
      <w:rFonts w:ascii="宋体" w:hAnsi="宋体" w:eastAsia="宋体"/>
      <w:sz w:val="19"/>
      <w:szCs w:val="19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CNKI</dc:creator>
  <dcterms:created xsi:type="dcterms:W3CDTF">2020-12-08T16:31:24Z</dcterms:created>
  <dcterms:modified xsi:type="dcterms:W3CDTF">2020-12-08T16:31:24Z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2020-11-01T00:00:00Z</vt:filetime>
  </property>
  <property fmtid="{D5CDD505-2E9C-101B-9397-08002B2CF9AE}" pid="3" name="Creator">
    <vt:lpwstr>ReaderEx_DIS 2.1.0 Build 3968</vt:lpwstr>
  </property>
  <property fmtid="{D5CDD505-2E9C-101B-9397-08002B2CF9AE}" pid="4" name="LastSaved">
    <vt:filetime>2020-12-08T00:00:00Z</vt:filetime>
  </property>
</Properties>
</file>