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jc w:val="center"/>
        <w:rPr>
          <w:rFonts w:ascii="Times New Roman" w:hAnsi="Times New Roman" w:eastAsia="方正小标宋简体"/>
          <w:color w:val="FF0000"/>
          <w:w w:val="50"/>
          <w:sz w:val="110"/>
          <w:szCs w:val="110"/>
        </w:rPr>
      </w:pPr>
      <w:r>
        <w:rPr>
          <w:rFonts w:ascii="Times New Roman" w:hAnsi="Times New Roman" w:eastAsia="方正小标宋简体"/>
          <w:color w:val="FF0000"/>
          <w:w w:val="50"/>
          <w:sz w:val="110"/>
          <w:szCs w:val="110"/>
        </w:rPr>
        <w:t>天津市人民政府</w:t>
      </w:r>
      <w:r>
        <w:rPr>
          <w:rFonts w:hint="eastAsia" w:ascii="Times New Roman" w:hAnsi="Times New Roman" w:eastAsia="方正小标宋简体"/>
          <w:color w:val="FF0000"/>
          <w:w w:val="50"/>
          <w:sz w:val="110"/>
          <w:szCs w:val="110"/>
        </w:rPr>
        <w:t>政务服务</w:t>
      </w:r>
      <w:r>
        <w:rPr>
          <w:rFonts w:ascii="Times New Roman" w:hAnsi="Times New Roman" w:eastAsia="方正小标宋简体"/>
          <w:color w:val="FF0000"/>
          <w:w w:val="50"/>
          <w:sz w:val="110"/>
          <w:szCs w:val="110"/>
        </w:rPr>
        <w:t>办公室文件</w:t>
      </w:r>
    </w:p>
    <w:p>
      <w:pPr>
        <w:rPr>
          <w:rFonts w:ascii="Times New Roman" w:hAnsi="Times New Roman" w:eastAsiaTheme="minorEastAsia"/>
          <w:sz w:val="21"/>
          <w:szCs w:val="24"/>
        </w:rPr>
      </w:pPr>
    </w:p>
    <w:p>
      <w:pPr>
        <w:rPr>
          <w:rFonts w:ascii="Times New Roman" w:hAnsi="Times New Roman"/>
        </w:rPr>
      </w:pPr>
    </w:p>
    <w:p>
      <w:pPr>
        <w:tabs>
          <w:tab w:val="left" w:pos="8400"/>
          <w:tab w:val="left" w:pos="8505"/>
        </w:tabs>
        <w:ind w:firstLine="0" w:firstLineChars="0"/>
        <w:jc w:val="center"/>
        <w:rPr>
          <w:rFonts w:hint="default" w:ascii="Times New Roman" w:hAnsi="Times New Roman" w:eastAsia="仿宋_GB2312"/>
          <w:sz w:val="32"/>
          <w:szCs w:val="32"/>
        </w:rPr>
      </w:pPr>
      <w:r>
        <w:rPr>
          <w:rFonts w:ascii="Times New Roman" w:hAnsi="Times New Roman" w:eastAsia="仿宋_GB2312" w:cs="Times New Roman"/>
          <w:sz w:val="32"/>
          <w:szCs w:val="32"/>
        </w:rPr>
        <w:t>津政服〔</w:t>
      </w:r>
      <w:r>
        <w:rPr>
          <w:rFonts w:hint="eastAsia" w:ascii="Nimbus Roman No9 L" w:hAnsi="Nimbus Roman No9 L" w:eastAsia="Nimbus Roman No9 L" w:cs="Nimbus Roman No9 L"/>
          <w:sz w:val="32"/>
          <w:szCs w:val="32"/>
        </w:rPr>
        <w:t>2020</w:t>
      </w:r>
      <w:r>
        <w:rPr>
          <w:rFonts w:ascii="Times New Roman" w:hAnsi="Times New Roman" w:eastAsia="仿宋_GB2312" w:cs="Times New Roman"/>
          <w:sz w:val="32"/>
          <w:szCs w:val="32"/>
        </w:rPr>
        <w:t>〕</w:t>
      </w:r>
      <w:r>
        <w:rPr>
          <w:rFonts w:hint="eastAsia" w:ascii="仿宋_GB2312" w:hAnsi="Times New Roman" w:eastAsia="仿宋_GB2312" w:cs="Times New Roman"/>
          <w:sz w:val="32"/>
          <w:szCs w:val="32"/>
          <w:lang w:val="en-US" w:eastAsia="zh-CN"/>
        </w:rPr>
        <w:t>17</w:t>
      </w:r>
      <w:r>
        <w:rPr>
          <w:rFonts w:ascii="Times New Roman" w:hAnsi="Times New Roman" w:eastAsia="仿宋_GB2312" w:cs="Times New Roman"/>
          <w:sz w:val="32"/>
          <w:szCs w:val="32"/>
        </w:rPr>
        <w:t>号</w:t>
      </w:r>
    </w:p>
    <w:p>
      <w:pPr>
        <w:tabs>
          <w:tab w:val="left" w:pos="8400"/>
          <w:tab w:val="left" w:pos="8505"/>
        </w:tabs>
        <w:spacing w:line="819" w:lineRule="exact"/>
        <w:ind w:firstLine="210" w:firstLineChars="100"/>
        <w:rPr>
          <w:rFonts w:ascii="Times New Roman" w:hAnsi="Times New Roman" w:eastAsia="仿宋_GB2312" w:cs="Times New Roman"/>
          <w:sz w:val="32"/>
          <w:szCs w:val="32"/>
        </w:rPr>
      </w:pPr>
      <w:r>
        <w:rPr>
          <w:rFonts w:ascii="Times New Roman" w:hAnsi="Times New Roman" w:eastAsiaTheme="minorEastAsia"/>
          <w:szCs w:val="24"/>
        </w:rPr>
        <mc:AlternateContent>
          <mc:Choice Requires="wps">
            <w:drawing>
              <wp:anchor distT="0" distB="0" distL="114300" distR="114300" simplePos="0" relativeHeight="251664384" behindDoc="0" locked="0" layoutInCell="1" allowOverlap="1">
                <wp:simplePos x="0" y="0"/>
                <wp:positionH relativeFrom="column">
                  <wp:posOffset>-7620</wp:posOffset>
                </wp:positionH>
                <wp:positionV relativeFrom="paragraph">
                  <wp:posOffset>15240</wp:posOffset>
                </wp:positionV>
                <wp:extent cx="5600700" cy="0"/>
                <wp:effectExtent l="0" t="15875" r="0" b="22225"/>
                <wp:wrapNone/>
                <wp:docPr id="4" name="直接连接符 4"/>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31750">
                          <a:solidFill>
                            <a:srgbClr val="FF0000"/>
                          </a:solidFill>
                          <a:round/>
                        </a:ln>
                      </wps:spPr>
                      <wps:bodyPr/>
                    </wps:wsp>
                  </a:graphicData>
                </a:graphic>
              </wp:anchor>
            </w:drawing>
          </mc:Choice>
          <mc:Fallback>
            <w:pict>
              <v:line id="_x0000_s1026" o:spid="_x0000_s1026" o:spt="20" style="position:absolute;left:0pt;margin-left:-0.6pt;margin-top:1.2pt;height:0pt;width:441pt;z-index:251664384;mso-width-relative:page;mso-height-relative:page;" filled="f" stroked="t" coordsize="21600,21600" o:gfxdata="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P1swtzVAAAA&#10;BgEAAA8AAAAAAAAAAQAgAAAAIgAAAGRycy9kb3ducmV2LnhtbFBLAQIUABQAAAAIAIdO4kA5zRxI&#10;5wEAAKsDAAAOAAAAAAAAAAEAIAAAACQBAABkcnMvZTJvRG9jLnhtbFBLBQYAAAAABgAGAFkBAAB9&#10;BQAAAAA=&#10;">
                <v:fill on="f" focussize="0,0"/>
                <v:stroke weight="2.5pt" color="#FF0000" joinstyle="round"/>
                <v:imagedata o:title=""/>
                <o:lock v:ext="edit" aspectratio="f"/>
              </v:line>
            </w:pict>
          </mc:Fallback>
        </mc:AlternateContent>
      </w:r>
    </w:p>
    <w:p>
      <w:pPr>
        <w:pStyle w:val="6"/>
        <w:widowControl w:val="0"/>
        <w:shd w:val="clear" w:color="auto" w:fill="FFFFFF"/>
        <w:spacing w:before="0" w:beforeAutospacing="0" w:after="0" w:afterAutospacing="0" w:line="579" w:lineRule="exact"/>
        <w:jc w:val="center"/>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eastAsia="zh-CN"/>
          <w14:textFill>
            <w14:solidFill>
              <w14:schemeClr w14:val="tx1"/>
            </w14:solidFill>
          </w14:textFill>
        </w:rPr>
        <w:t>市政务服务办</w:t>
      </w: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关于印发天津市</w:t>
      </w:r>
      <w:r>
        <w:rPr>
          <w:rFonts w:hint="default" w:ascii="Times New Roman" w:hAnsi="Times New Roman" w:eastAsia="Nimbus Roman No9 L" w:cs="Times New Roman"/>
          <w:color w:val="000000" w:themeColor="text1"/>
          <w:sz w:val="44"/>
          <w:szCs w:val="44"/>
          <w:lang w:val="en"/>
          <w14:textFill>
            <w14:solidFill>
              <w14:schemeClr w14:val="tx1"/>
            </w14:solidFill>
          </w14:textFill>
        </w:rPr>
        <w:t>2021</w:t>
      </w: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年</w:t>
      </w:r>
    </w:p>
    <w:p>
      <w:pPr>
        <w:pStyle w:val="6"/>
        <w:widowControl w:val="0"/>
        <w:shd w:val="clear" w:color="auto" w:fill="FFFFFF"/>
        <w:spacing w:before="0" w:beforeAutospacing="0" w:after="0" w:afterAutospacing="0" w:line="579" w:lineRule="exact"/>
        <w:jc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优化营商环境</w:t>
      </w:r>
      <w:r>
        <w:rPr>
          <w:rFonts w:ascii="方正小标宋简体" w:hAnsi="方正小标宋简体" w:eastAsia="方正小标宋简体" w:cs="方正小标宋简体"/>
          <w:color w:val="000000" w:themeColor="text1"/>
          <w:sz w:val="44"/>
          <w:szCs w:val="44"/>
          <w14:textFill>
            <w14:solidFill>
              <w14:schemeClr w14:val="tx1"/>
            </w14:solidFill>
          </w14:textFill>
        </w:rPr>
        <w:t>责任</w:t>
      </w: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清单的通知</w:t>
      </w:r>
    </w:p>
    <w:p>
      <w:pPr>
        <w:pStyle w:val="6"/>
        <w:widowControl w:val="0"/>
        <w:shd w:val="clear" w:color="auto" w:fill="FFFFFF"/>
        <w:spacing w:before="0" w:beforeAutospacing="0" w:after="0" w:afterAutospacing="0" w:line="579" w:lineRule="exact"/>
        <w:ind w:firstLine="640" w:firstLineChars="200"/>
        <w:jc w:val="both"/>
        <w:rPr>
          <w:rFonts w:ascii="仿宋_GB2312" w:eastAsia="仿宋_GB2312"/>
          <w:color w:val="000000" w:themeColor="text1"/>
          <w:sz w:val="32"/>
          <w:szCs w:val="32"/>
          <w14:textFill>
            <w14:solidFill>
              <w14:schemeClr w14:val="tx1"/>
            </w14:solidFill>
          </w14:textFill>
        </w:rPr>
      </w:pPr>
    </w:p>
    <w:p>
      <w:pPr>
        <w:pStyle w:val="6"/>
        <w:widowControl w:val="0"/>
        <w:shd w:val="clear" w:color="auto" w:fill="FFFFFF"/>
        <w:spacing w:before="0" w:beforeAutospacing="0" w:after="0" w:afterAutospacing="0" w:line="579" w:lineRule="exact"/>
        <w:jc w:val="both"/>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各区人民政府，市政府各委、办、局：</w:t>
      </w:r>
      <w:bookmarkStart w:id="0" w:name="_GoBack"/>
      <w:bookmarkEnd w:id="0"/>
    </w:p>
    <w:p>
      <w:pPr>
        <w:pStyle w:val="6"/>
        <w:widowControl w:val="0"/>
        <w:shd w:val="clear" w:color="auto" w:fill="FFFFFF"/>
        <w:spacing w:before="0" w:beforeAutospacing="0" w:after="0" w:afterAutospacing="0" w:line="579"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按照《天津市人民政府关于印发天津市优化营商环境三年行动计划的通</w:t>
      </w:r>
      <w:r>
        <w:rPr>
          <w:rFonts w:ascii="Symbol" w:hAnsi="Symbol" w:eastAsia="仿宋_GB2312" w:cs="Symbol"/>
          <w:color w:val="000000" w:themeColor="text1"/>
          <w:sz w:val="32"/>
          <w:szCs w:val="32"/>
          <w14:textFill>
            <w14:solidFill>
              <w14:schemeClr w14:val="tx1"/>
            </w14:solidFill>
          </w14:textFill>
        </w:rPr>
        <w:t>知》（</w:t>
      </w:r>
      <w:r>
        <w:rPr>
          <w:rFonts w:hint="default" w:ascii="Times New Roman" w:hAnsi="Times New Roman" w:eastAsia="仿宋_GB2312" w:cs="Times New Roman"/>
          <w:color w:val="000000" w:themeColor="text1"/>
          <w:sz w:val="32"/>
          <w:szCs w:val="32"/>
          <w14:textFill>
            <w14:solidFill>
              <w14:schemeClr w14:val="tx1"/>
            </w14:solidFill>
          </w14:textFill>
        </w:rPr>
        <w:t>津政规〔</w:t>
      </w:r>
      <w:r>
        <w:rPr>
          <w:rFonts w:hint="default" w:ascii="Times New Roman" w:hAnsi="Times New Roman" w:eastAsia="Nimbus Roman No9 L" w:cs="Times New Roman"/>
          <w:color w:val="000000" w:themeColor="text1"/>
          <w:sz w:val="32"/>
          <w:szCs w:val="32"/>
          <w:lang w:val="en"/>
          <w14:textFill>
            <w14:solidFill>
              <w14:schemeClr w14:val="tx1"/>
            </w14:solidFill>
          </w14:textFill>
        </w:rPr>
        <w:t>2020</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default" w:ascii="Times New Roman" w:hAnsi="Times New Roman" w:eastAsia="Nimbus Roman No9 L" w:cs="Times New Roman"/>
          <w:color w:val="000000" w:themeColor="text1"/>
          <w:sz w:val="32"/>
          <w:szCs w:val="32"/>
          <w:lang w:val="en"/>
          <w14:textFill>
            <w14:solidFill>
              <w14:schemeClr w14:val="tx1"/>
            </w14:solidFill>
          </w14:textFill>
        </w:rPr>
        <w:t>7</w:t>
      </w:r>
      <w:r>
        <w:rPr>
          <w:rFonts w:hint="default" w:ascii="Times New Roman" w:hAnsi="Times New Roman" w:eastAsia="仿宋_GB2312" w:cs="Times New Roman"/>
          <w:color w:val="000000" w:themeColor="text1"/>
          <w:sz w:val="32"/>
          <w:szCs w:val="32"/>
          <w14:textFill>
            <w14:solidFill>
              <w14:schemeClr w14:val="tx1"/>
            </w14:solidFill>
          </w14:textFill>
        </w:rPr>
        <w:t>号</w:t>
      </w:r>
      <w:r>
        <w:rPr>
          <w:rFonts w:ascii="Symbol" w:hAnsi="Symbol" w:eastAsia="仿宋_GB2312" w:cs="Symbol"/>
          <w:color w:val="000000" w:themeColor="text1"/>
          <w:sz w:val="32"/>
          <w:szCs w:val="32"/>
          <w14:textFill>
            <w14:solidFill>
              <w14:schemeClr w14:val="tx1"/>
            </w14:solidFill>
          </w14:textFill>
        </w:rPr>
        <w:t>）要求，经市人民政府同意，现将《天津市</w:t>
      </w:r>
      <w:r>
        <w:rPr>
          <w:rFonts w:hint="default" w:ascii="Times New Roman" w:hAnsi="Times New Roman" w:eastAsia="仿宋_GB2312" w:cs="Times New Roman"/>
          <w:color w:val="000000" w:themeColor="text1"/>
          <w:sz w:val="32"/>
          <w:szCs w:val="32"/>
          <w:lang w:val="en"/>
          <w14:textFill>
            <w14:solidFill>
              <w14:schemeClr w14:val="tx1"/>
            </w14:solidFill>
          </w14:textFill>
        </w:rPr>
        <w:t>2021</w:t>
      </w:r>
      <w:r>
        <w:rPr>
          <w:rFonts w:ascii="Symbol" w:hAnsi="Symbol" w:eastAsia="仿宋_GB2312" w:cs="Symbol"/>
          <w:color w:val="000000" w:themeColor="text1"/>
          <w:sz w:val="32"/>
          <w:szCs w:val="32"/>
          <w14:textFill>
            <w14:solidFill>
              <w14:schemeClr w14:val="tx1"/>
            </w14:solidFill>
          </w14:textFill>
        </w:rPr>
        <w:t>年</w:t>
      </w:r>
      <w:r>
        <w:rPr>
          <w:rFonts w:hint="eastAsia" w:ascii="仿宋_GB2312" w:eastAsia="仿宋_GB2312"/>
          <w:color w:val="000000" w:themeColor="text1"/>
          <w:sz w:val="32"/>
          <w:szCs w:val="32"/>
          <w14:textFill>
            <w14:solidFill>
              <w14:schemeClr w14:val="tx1"/>
            </w14:solidFill>
          </w14:textFill>
        </w:rPr>
        <w:t>优化营商环境</w:t>
      </w:r>
      <w:r>
        <w:rPr>
          <w:rFonts w:ascii="仿宋_GB2312" w:eastAsia="仿宋_GB2312"/>
          <w:color w:val="000000" w:themeColor="text1"/>
          <w:sz w:val="32"/>
          <w:szCs w:val="32"/>
          <w14:textFill>
            <w14:solidFill>
              <w14:schemeClr w14:val="tx1"/>
            </w14:solidFill>
          </w14:textFill>
        </w:rPr>
        <w:t>责任</w:t>
      </w:r>
      <w:r>
        <w:rPr>
          <w:rFonts w:hint="eastAsia" w:ascii="仿宋_GB2312" w:eastAsia="仿宋_GB2312"/>
          <w:color w:val="000000" w:themeColor="text1"/>
          <w:sz w:val="32"/>
          <w:szCs w:val="32"/>
          <w14:textFill>
            <w14:solidFill>
              <w14:schemeClr w14:val="tx1"/>
            </w14:solidFill>
          </w14:textFill>
        </w:rPr>
        <w:t>清单》印发给你们，</w:t>
      </w:r>
      <w:r>
        <w:rPr>
          <w:rFonts w:ascii="仿宋_GB2312" w:eastAsia="仿宋_GB2312"/>
          <w:color w:val="000000" w:themeColor="text1"/>
          <w:sz w:val="32"/>
          <w:szCs w:val="32"/>
          <w14:textFill>
            <w14:solidFill>
              <w14:schemeClr w14:val="tx1"/>
            </w14:solidFill>
          </w14:textFill>
        </w:rPr>
        <w:t>请</w:t>
      </w:r>
      <w:r>
        <w:rPr>
          <w:rFonts w:hint="eastAsia" w:ascii="仿宋_GB2312" w:eastAsia="仿宋_GB2312"/>
          <w:color w:val="000000" w:themeColor="text1"/>
          <w:sz w:val="32"/>
          <w:szCs w:val="32"/>
          <w14:textFill>
            <w14:solidFill>
              <w14:schemeClr w14:val="tx1"/>
            </w14:solidFill>
          </w14:textFill>
        </w:rPr>
        <w:t>遵照执行。</w:t>
      </w:r>
    </w:p>
    <w:p>
      <w:pPr>
        <w:pStyle w:val="6"/>
        <w:widowControl w:val="0"/>
        <w:shd w:val="clear" w:color="auto" w:fill="FFFFFF"/>
        <w:spacing w:before="0" w:beforeAutospacing="0" w:after="0" w:afterAutospacing="0" w:line="579" w:lineRule="exact"/>
        <w:ind w:firstLine="640" w:firstLineChars="200"/>
        <w:jc w:val="both"/>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各有关单位要进一步提高政治站位，压实主体责任，聚焦企业群众关切，主动对标国际一流标准和国内最佳实践，围绕责任清单各项改革措施，逐项细化工作目标、责任分工和完成时限，加强协调配合，形成整体合力，确保各项措施落地见效。</w:t>
      </w:r>
    </w:p>
    <w:p>
      <w:pPr>
        <w:pStyle w:val="6"/>
        <w:widowControl w:val="0"/>
        <w:shd w:val="clear" w:color="auto" w:fill="FFFFFF"/>
        <w:spacing w:before="0" w:beforeAutospacing="0" w:after="0" w:afterAutospacing="0" w:line="579"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市政府办公厅将按季度对各有关单位落实责任清单的情况进行督查并通报进度。</w:t>
      </w:r>
    </w:p>
    <w:p>
      <w:pPr>
        <w:pStyle w:val="6"/>
        <w:widowControl w:val="0"/>
        <w:shd w:val="clear" w:color="auto" w:fill="FFFFFF"/>
        <w:spacing w:before="0" w:beforeAutospacing="0" w:after="0" w:afterAutospacing="0" w:line="579" w:lineRule="exact"/>
        <w:jc w:val="both"/>
        <w:rPr>
          <w:rFonts w:ascii="仿宋_GB2312" w:eastAsia="仿宋_GB2312"/>
          <w:color w:val="000000" w:themeColor="text1"/>
          <w:sz w:val="32"/>
          <w:szCs w:val="32"/>
          <w14:textFill>
            <w14:solidFill>
              <w14:schemeClr w14:val="tx1"/>
            </w14:solidFill>
          </w14:textFill>
        </w:rPr>
      </w:pPr>
    </w:p>
    <w:p>
      <w:pPr>
        <w:pStyle w:val="6"/>
        <w:widowControl w:val="0"/>
        <w:shd w:val="clear" w:color="auto" w:fill="FFFFFF"/>
        <w:spacing w:before="0" w:beforeAutospacing="0" w:after="0" w:afterAutospacing="0" w:line="579" w:lineRule="exact"/>
        <w:jc w:val="both"/>
        <w:rPr>
          <w:rFonts w:ascii="仿宋_GB2312" w:eastAsia="仿宋_GB2312"/>
          <w:color w:val="000000" w:themeColor="text1"/>
          <w:sz w:val="32"/>
          <w:szCs w:val="32"/>
          <w14:textFill>
            <w14:solidFill>
              <w14:schemeClr w14:val="tx1"/>
            </w14:solidFill>
          </w14:textFill>
        </w:rPr>
      </w:pPr>
    </w:p>
    <w:p>
      <w:pPr>
        <w:pStyle w:val="6"/>
        <w:widowControl w:val="0"/>
        <w:shd w:val="clear" w:color="auto" w:fill="FFFFFF"/>
        <w:spacing w:before="0" w:beforeAutospacing="0" w:after="0" w:afterAutospacing="0" w:line="579" w:lineRule="exact"/>
        <w:jc w:val="both"/>
        <w:rPr>
          <w:rFonts w:ascii="仿宋_GB2312" w:eastAsia="仿宋_GB2312"/>
          <w:color w:val="000000" w:themeColor="text1"/>
          <w:sz w:val="32"/>
          <w:szCs w:val="32"/>
          <w14:textFill>
            <w14:solidFill>
              <w14:schemeClr w14:val="tx1"/>
            </w14:solidFill>
          </w14:textFill>
        </w:rPr>
      </w:pPr>
    </w:p>
    <w:p>
      <w:pPr>
        <w:pStyle w:val="6"/>
        <w:widowControl w:val="0"/>
        <w:shd w:val="clear" w:color="auto" w:fill="FFFFFF"/>
        <w:spacing w:before="0" w:beforeAutospacing="0" w:after="0" w:afterAutospacing="0" w:line="579" w:lineRule="exact"/>
        <w:jc w:val="both"/>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2020年12月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31</w:t>
      </w:r>
      <w:r>
        <w:rPr>
          <w:rFonts w:hint="eastAsia" w:ascii="仿宋_GB2312" w:hAnsi="仿宋_GB2312" w:eastAsia="仿宋_GB2312" w:cs="仿宋_GB2312"/>
          <w:color w:val="000000" w:themeColor="text1"/>
          <w:sz w:val="32"/>
          <w:szCs w:val="32"/>
          <w14:textFill>
            <w14:solidFill>
              <w14:schemeClr w14:val="tx1"/>
            </w14:solidFill>
          </w14:textFill>
        </w:rPr>
        <w:t>日</w:t>
      </w:r>
    </w:p>
    <w:p>
      <w:pPr>
        <w:pStyle w:val="6"/>
        <w:widowControl w:val="0"/>
        <w:shd w:val="clear" w:color="auto" w:fill="FFFFFF"/>
        <w:spacing w:before="0" w:beforeAutospacing="0" w:after="0" w:afterAutospacing="0" w:line="579" w:lineRule="exact"/>
        <w:jc w:val="both"/>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    （此件主动公开）</w:t>
      </w:r>
    </w:p>
    <w:p>
      <w:pPr>
        <w:pStyle w:val="6"/>
        <w:widowControl w:val="0"/>
        <w:shd w:val="clear" w:color="auto" w:fill="FFFFFF"/>
        <w:spacing w:before="0" w:beforeAutospacing="0" w:after="0" w:afterAutospacing="0" w:line="579" w:lineRule="exact"/>
        <w:jc w:val="both"/>
        <w:rPr>
          <w:rFonts w:ascii="仿宋_GB2312" w:eastAsia="仿宋_GB2312"/>
          <w:color w:val="000000" w:themeColor="text1"/>
          <w:sz w:val="32"/>
          <w:szCs w:val="32"/>
          <w14:textFill>
            <w14:solidFill>
              <w14:schemeClr w14:val="tx1"/>
            </w14:solidFill>
          </w14:textFill>
        </w:rPr>
        <w:sectPr>
          <w:footerReference r:id="rId3" w:type="default"/>
          <w:pgSz w:w="11906" w:h="16838"/>
          <w:pgMar w:top="2098" w:right="1474" w:bottom="1984" w:left="1587" w:header="851" w:footer="992" w:gutter="0"/>
          <w:pgNumType w:fmt="numberInDash"/>
          <w:cols w:space="0" w:num="1"/>
          <w:docGrid w:type="lines" w:linePitch="312" w:charSpace="0"/>
        </w:sectPr>
      </w:pPr>
    </w:p>
    <w:p>
      <w:pPr>
        <w:pStyle w:val="6"/>
        <w:shd w:val="clear" w:color="auto" w:fill="FFFFFF"/>
        <w:spacing w:before="0" w:beforeAutospacing="0" w:after="0" w:afterAutospacing="0" w:line="579" w:lineRule="exact"/>
        <w:ind w:firstLine="0" w:firstLineChars="0"/>
        <w:jc w:val="center"/>
        <w:rPr>
          <w:rFonts w:ascii="仿宋_GB2312" w:eastAsia="仿宋_GB2312"/>
          <w:color w:val="000000" w:themeColor="text1"/>
          <w:sz w:val="32"/>
          <w:szCs w:val="32"/>
          <w14:textFill>
            <w14:solidFill>
              <w14:schemeClr w14:val="tx1"/>
            </w14:solidFill>
          </w14:textFill>
        </w:rPr>
      </w:pPr>
    </w:p>
    <w:tbl>
      <w:tblPr>
        <w:tblStyle w:val="7"/>
        <w:tblpPr w:leftFromText="180" w:rightFromText="180" w:vertAnchor="text" w:horzAnchor="page" w:tblpXSpec="center" w:tblpY="23"/>
        <w:tblOverlap w:val="never"/>
        <w:tblW w:w="15640" w:type="dxa"/>
        <w:jc w:val="center"/>
        <w:tblLayout w:type="fixed"/>
        <w:tblCellMar>
          <w:top w:w="0" w:type="dxa"/>
          <w:left w:w="0" w:type="dxa"/>
          <w:bottom w:w="0" w:type="dxa"/>
          <w:right w:w="0" w:type="dxa"/>
        </w:tblCellMar>
      </w:tblPr>
      <w:tblGrid>
        <w:gridCol w:w="908"/>
        <w:gridCol w:w="1179"/>
        <w:gridCol w:w="7371"/>
        <w:gridCol w:w="2660"/>
        <w:gridCol w:w="3522"/>
      </w:tblGrid>
      <w:tr>
        <w:tblPrEx>
          <w:tblCellMar>
            <w:top w:w="0" w:type="dxa"/>
            <w:left w:w="0" w:type="dxa"/>
            <w:bottom w:w="0" w:type="dxa"/>
            <w:right w:w="0" w:type="dxa"/>
          </w:tblCellMar>
        </w:tblPrEx>
        <w:trPr>
          <w:trHeight w:val="658" w:hRule="atLeast"/>
          <w:jc w:val="center"/>
        </w:trPr>
        <w:tc>
          <w:tcPr>
            <w:tcW w:w="15640" w:type="dxa"/>
            <w:gridSpan w:val="5"/>
            <w:tcBorders>
              <w:top w:val="nil"/>
              <w:left w:val="nil"/>
              <w:bottom w:val="nil"/>
              <w:right w:val="nil"/>
            </w:tcBorders>
            <w:shd w:val="clear" w:color="auto" w:fill="auto"/>
            <w:noWrap/>
            <w:tcMar>
              <w:top w:w="15" w:type="dxa"/>
              <w:left w:w="15" w:type="dxa"/>
              <w:right w:w="15" w:type="dxa"/>
            </w:tcMar>
            <w:vAlign w:val="center"/>
          </w:tcPr>
          <w:p>
            <w:pPr>
              <w:widowControl/>
              <w:jc w:val="center"/>
              <w:textAlignment w:val="center"/>
              <w:rPr>
                <w:rFonts w:ascii="方正小标宋简体" w:hAnsi="方正小标宋简体" w:eastAsia="方正小标宋简体" w:cs="方正小标宋简体"/>
                <w:color w:val="000000"/>
                <w:sz w:val="40"/>
                <w:szCs w:val="40"/>
              </w:rPr>
            </w:pPr>
            <w:r>
              <w:rPr>
                <w:rFonts w:hint="eastAsia" w:ascii="方正小标宋简体" w:hAnsi="方正小标宋简体" w:eastAsia="方正小标宋简体" w:cs="方正小标宋简体"/>
                <w:color w:val="000000"/>
                <w:kern w:val="0"/>
                <w:sz w:val="40"/>
                <w:szCs w:val="40"/>
                <w:lang w:bidi="ar"/>
              </w:rPr>
              <w:t>天津市2021年优化营商环境</w:t>
            </w:r>
            <w:r>
              <w:rPr>
                <w:rFonts w:ascii="方正小标宋简体" w:hAnsi="方正小标宋简体" w:eastAsia="方正小标宋简体" w:cs="方正小标宋简体"/>
                <w:color w:val="000000"/>
                <w:kern w:val="0"/>
                <w:sz w:val="40"/>
                <w:szCs w:val="40"/>
                <w:lang w:bidi="ar"/>
              </w:rPr>
              <w:t>责任</w:t>
            </w:r>
            <w:r>
              <w:rPr>
                <w:rFonts w:hint="eastAsia" w:ascii="方正小标宋简体" w:hAnsi="方正小标宋简体" w:eastAsia="方正小标宋简体" w:cs="方正小标宋简体"/>
                <w:color w:val="000000"/>
                <w:kern w:val="0"/>
                <w:sz w:val="40"/>
                <w:szCs w:val="40"/>
                <w:lang w:bidi="ar"/>
              </w:rPr>
              <w:t>清单</w:t>
            </w:r>
          </w:p>
        </w:tc>
      </w:tr>
      <w:tr>
        <w:tblPrEx>
          <w:tblCellMar>
            <w:top w:w="0" w:type="dxa"/>
            <w:left w:w="0" w:type="dxa"/>
            <w:bottom w:w="0" w:type="dxa"/>
            <w:right w:w="0" w:type="dxa"/>
          </w:tblCellMar>
        </w:tblPrEx>
        <w:trPr>
          <w:trHeight w:val="489"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序号</w:t>
            </w:r>
          </w:p>
        </w:tc>
        <w:tc>
          <w:tcPr>
            <w:tcW w:w="11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重点任务</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改革措施</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牵头单位</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责任单位</w:t>
            </w:r>
          </w:p>
        </w:tc>
      </w:tr>
      <w:tr>
        <w:tblPrEx>
          <w:tblCellMar>
            <w:top w:w="0" w:type="dxa"/>
            <w:left w:w="0" w:type="dxa"/>
            <w:bottom w:w="0" w:type="dxa"/>
            <w:right w:w="0" w:type="dxa"/>
          </w:tblCellMar>
        </w:tblPrEx>
        <w:trPr>
          <w:trHeight w:val="961"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Symbol" w:hAnsi="Symbol" w:eastAsia="仿宋_GB2312" w:cs="Symbol"/>
                <w:color w:val="000000"/>
                <w:sz w:val="24"/>
              </w:rPr>
            </w:pPr>
            <w:r>
              <w:rPr>
                <w:rFonts w:ascii="Symbol" w:hAnsi="Symbol" w:eastAsia="仿宋_GB2312" w:cs="Symbol"/>
                <w:color w:val="000000"/>
                <w:kern w:val="0"/>
                <w:sz w:val="24"/>
                <w:lang w:bidi="ar"/>
              </w:rPr>
              <w:t>优化企业开办服务</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推进企业开办、变更、注销等登记事项“一网通办”，将员工参保登记纳入企业开办流程，实现企业登记事项全流程网上办。</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市市场监管委</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市委网信办、市税务局、市人社局、市公安局、市公积金管理中心、人民银行天津分行</w:t>
            </w:r>
          </w:p>
        </w:tc>
      </w:tr>
      <w:tr>
        <w:tblPrEx>
          <w:tblCellMar>
            <w:top w:w="0" w:type="dxa"/>
            <w:left w:w="0" w:type="dxa"/>
            <w:bottom w:w="0" w:type="dxa"/>
            <w:right w:w="0" w:type="dxa"/>
          </w:tblCellMar>
        </w:tblPrEx>
        <w:trPr>
          <w:trHeight w:val="90"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有序推进企业登记系统与“津心办”APP事项对接，实现企业名称、企业设立、变更事项可通过移动端办理。</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市市场监管委</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市委网信办、市政务服务办、市税务局、市人社局、市公安局、市公积金管理中心、人民银行天津分行</w:t>
            </w:r>
          </w:p>
        </w:tc>
      </w:tr>
      <w:tr>
        <w:tblPrEx>
          <w:tblCellMar>
            <w:top w:w="0" w:type="dxa"/>
            <w:left w:w="0" w:type="dxa"/>
            <w:bottom w:w="0" w:type="dxa"/>
            <w:right w:w="0" w:type="dxa"/>
          </w:tblCellMar>
        </w:tblPrEx>
        <w:trPr>
          <w:trHeight w:val="1186"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拓展企业开办智慧审批事项，按照规范化、标准化、就近办的原则，在企业名称、经营范围、住所（经营场所）自主申报的基础上，通过智能核验实现智慧审批。</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市市场监管委</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市委网信办、市规划资源局、市政务服务办、市公安局、市税务局、市公积金管理中心、人民银行天津分行</w:t>
            </w:r>
          </w:p>
        </w:tc>
      </w:tr>
      <w:tr>
        <w:tblPrEx>
          <w:tblCellMar>
            <w:top w:w="0" w:type="dxa"/>
            <w:left w:w="0" w:type="dxa"/>
            <w:bottom w:w="0" w:type="dxa"/>
            <w:right w:w="0" w:type="dxa"/>
          </w:tblCellMar>
        </w:tblPrEx>
        <w:trPr>
          <w:trHeight w:val="686"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推进电子营业执照在办理各类政务服务事项电子系统中的应用。免费为更多市场主体发放税务UKey。推广电子印章、电子发票应用。</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市市场监管委</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市政务服务办、市委网信办、市公安局、市税务局等有关单位</w:t>
            </w:r>
          </w:p>
        </w:tc>
      </w:tr>
      <w:tr>
        <w:tblPrEx>
          <w:tblCellMar>
            <w:top w:w="0" w:type="dxa"/>
            <w:left w:w="0" w:type="dxa"/>
            <w:bottom w:w="0" w:type="dxa"/>
            <w:right w:w="0" w:type="dxa"/>
          </w:tblCellMar>
        </w:tblPrEx>
        <w:trPr>
          <w:trHeight w:val="90"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全市复制推广简易注销改革，推进企业注销涉及部门间数据互通共享。</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市市场监管委</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市税务局、市政务服务办等有关单位</w:t>
            </w:r>
          </w:p>
        </w:tc>
      </w:tr>
      <w:tr>
        <w:tblPrEx>
          <w:tblCellMar>
            <w:top w:w="0" w:type="dxa"/>
            <w:left w:w="0" w:type="dxa"/>
            <w:bottom w:w="0" w:type="dxa"/>
            <w:right w:w="0" w:type="dxa"/>
          </w:tblCellMar>
        </w:tblPrEx>
        <w:trPr>
          <w:trHeight w:val="90"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Symbol" w:hAnsi="Symbol" w:eastAsia="仿宋_GB2312" w:cs="Symbol"/>
                <w:color w:val="000000"/>
                <w:sz w:val="24"/>
              </w:rPr>
            </w:pPr>
            <w:r>
              <w:rPr>
                <w:rFonts w:ascii="Symbol" w:hAnsi="Symbol" w:eastAsia="仿宋_GB2312" w:cs="Symbol"/>
                <w:color w:val="000000"/>
                <w:kern w:val="0"/>
                <w:sz w:val="24"/>
                <w:lang w:bidi="ar"/>
              </w:rPr>
              <w:t>提高项目开工建设效率</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深化工程建设项目审批制度改革，一般社会投资工程建设项目从申请项目备案到取得施工许可证不</w:t>
            </w:r>
            <w:r>
              <w:rPr>
                <w:rFonts w:ascii="Symbol" w:hAnsi="Symbol" w:eastAsia="仿宋_GB2312" w:cs="Symbol"/>
                <w:color w:val="000000"/>
                <w:kern w:val="0"/>
                <w:sz w:val="24"/>
                <w:lang w:bidi="ar"/>
              </w:rPr>
              <w:t>超过天</w:t>
            </w:r>
            <w:r>
              <w:rPr>
                <w:rFonts w:hint="eastAsia" w:ascii="仿宋_GB2312" w:hAnsi="宋体" w:eastAsia="仿宋_GB2312" w:cs="仿宋_GB2312"/>
                <w:color w:val="000000"/>
                <w:kern w:val="0"/>
                <w:sz w:val="24"/>
                <w:lang w:bidi="ar"/>
              </w:rPr>
              <w:t>。</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市住房城乡建设委</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市工程建设项目审批制度改革试点工作领导小组各成员单位，各区人民政府</w:t>
            </w:r>
          </w:p>
        </w:tc>
      </w:tr>
      <w:tr>
        <w:tblPrEx>
          <w:tblCellMar>
            <w:top w:w="0" w:type="dxa"/>
            <w:left w:w="0" w:type="dxa"/>
            <w:bottom w:w="0" w:type="dxa"/>
            <w:right w:w="0" w:type="dxa"/>
          </w:tblCellMar>
        </w:tblPrEx>
        <w:trPr>
          <w:trHeight w:val="1428"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深化施工图审查改革，对新建、扩建单体建</w:t>
            </w:r>
            <w:r>
              <w:rPr>
                <w:rFonts w:ascii="Symbol" w:hAnsi="Symbol" w:eastAsia="仿宋_GB2312" w:cs="Symbol"/>
                <w:color w:val="000000"/>
                <w:kern w:val="0"/>
                <w:sz w:val="24"/>
                <w:lang w:bidi="ar"/>
              </w:rPr>
              <w:t>筑面积不大于平方米（不含地下工程）、建筑高度不高于米的</w:t>
            </w:r>
            <w:r>
              <w:rPr>
                <w:rFonts w:hint="eastAsia" w:ascii="仿宋_GB2312" w:hAnsi="宋体" w:eastAsia="仿宋_GB2312" w:cs="仿宋_GB2312"/>
                <w:color w:val="000000"/>
                <w:kern w:val="0"/>
                <w:sz w:val="24"/>
                <w:lang w:bidi="ar"/>
              </w:rPr>
              <w:t>功能单一的社会投资厂房、普通仓库项目，不再强制实行施工图审查，建设单位可自愿选择是否实行告知承诺制。</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市住房城乡建设委</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市工程建设项目审批制度改革试点工作领导小组各成员单位，各区人民政府</w:t>
            </w:r>
          </w:p>
        </w:tc>
      </w:tr>
      <w:tr>
        <w:tblPrEx>
          <w:tblCellMar>
            <w:top w:w="0" w:type="dxa"/>
            <w:left w:w="0" w:type="dxa"/>
            <w:bottom w:w="0" w:type="dxa"/>
            <w:right w:w="0" w:type="dxa"/>
          </w:tblCellMar>
        </w:tblPrEx>
        <w:trPr>
          <w:trHeight w:val="489"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序号</w:t>
            </w:r>
          </w:p>
        </w:tc>
        <w:tc>
          <w:tcPr>
            <w:tcW w:w="11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重点任务</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改革措施</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牵头单位</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责任单位</w:t>
            </w:r>
          </w:p>
        </w:tc>
      </w:tr>
      <w:tr>
        <w:tblPrEx>
          <w:tblCellMar>
            <w:top w:w="0" w:type="dxa"/>
            <w:left w:w="0" w:type="dxa"/>
            <w:bottom w:w="0" w:type="dxa"/>
            <w:right w:w="0" w:type="dxa"/>
          </w:tblCellMar>
        </w:tblPrEx>
        <w:trPr>
          <w:trHeight w:val="899"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r>
              <w:rPr>
                <w:rFonts w:ascii="Symbol" w:hAnsi="Symbol" w:eastAsia="仿宋_GB2312" w:cs="Symbol"/>
                <w:color w:val="000000"/>
                <w:kern w:val="0"/>
                <w:sz w:val="24"/>
                <w:lang w:bidi="ar"/>
              </w:rPr>
              <w:t>提高项目开工建设效率</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提高规划编制科学性，市区两级全面推行项目前期策划生成，将工程建设项目全部纳入策划生成范围。</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市规划资源局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市发展改革委、市住房城乡建设委、市政务服务办、市生态环境局、市农业农村委、市水务局、市交通运输委等有关单位</w:t>
            </w:r>
          </w:p>
        </w:tc>
      </w:tr>
      <w:tr>
        <w:tblPrEx>
          <w:tblCellMar>
            <w:top w:w="0" w:type="dxa"/>
            <w:left w:w="0" w:type="dxa"/>
            <w:bottom w:w="0" w:type="dxa"/>
            <w:right w:w="0" w:type="dxa"/>
          </w:tblCellMar>
        </w:tblPrEx>
        <w:trPr>
          <w:trHeight w:val="1327"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研究制定推行“用地清单制”改革相关措施，开展改革试点，将原来由建设单位拿地后跑部门、跑评估评审，转变为土地出让前，由政府部门统一组织各主管部门提出项目的评估评价指标，建设单位根据清单即可开展工程方案设计。</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市规划资源局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市发展改革委、市生态环保局、市地震局、市水务局等有关单位，各区人民政府</w:t>
            </w:r>
          </w:p>
        </w:tc>
      </w:tr>
      <w:tr>
        <w:tblPrEx>
          <w:tblCellMar>
            <w:top w:w="0" w:type="dxa"/>
            <w:left w:w="0" w:type="dxa"/>
            <w:bottom w:w="0" w:type="dxa"/>
            <w:right w:w="0" w:type="dxa"/>
          </w:tblCellMar>
        </w:tblPrEx>
        <w:trPr>
          <w:trHeight w:val="1931"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在更大范围实施区域评估，将实施范围扩大至全市各类开发区、工业园区和自贸试验区（片区）以及其他有条件的区域，由属地区政府统一组织实施区域评估。在土地供应前，编制节能评价、环境影响评价、地质灾害危险性评估、水资源论证、水土保持方案等区域评估报告并进行区域评估评审，结果提供给企业共享，建设项目不再单独进行评估和审批。</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各区人民政府</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市发展改革委、市生态环境局、市规划资源局、市水务局等有关单位</w:t>
            </w:r>
          </w:p>
        </w:tc>
      </w:tr>
      <w:tr>
        <w:tblPrEx>
          <w:tblCellMar>
            <w:top w:w="0" w:type="dxa"/>
            <w:left w:w="0" w:type="dxa"/>
            <w:bottom w:w="0" w:type="dxa"/>
            <w:right w:w="0" w:type="dxa"/>
          </w:tblCellMar>
        </w:tblPrEx>
        <w:trPr>
          <w:trHeight w:val="743"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编制建设用地审批、规划许可阶段“联合测绘”操作规程，推进建设用地审批、城乡规划许可阶段联合测绘工作开展。</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市规划资源局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color w:val="000000"/>
                <w:sz w:val="24"/>
                <w:lang w:eastAsia="zh-CN"/>
              </w:rPr>
            </w:pPr>
            <w:r>
              <w:rPr>
                <w:rFonts w:hint="eastAsia" w:ascii="仿宋_GB2312" w:hAnsi="宋体" w:eastAsia="仿宋_GB2312" w:cs="仿宋_GB2312"/>
                <w:color w:val="000000"/>
                <w:sz w:val="24"/>
                <w:lang w:eastAsia="zh-CN"/>
              </w:rPr>
              <w:t>——</w:t>
            </w:r>
          </w:p>
        </w:tc>
      </w:tr>
      <w:tr>
        <w:tblPrEx>
          <w:tblCellMar>
            <w:top w:w="0" w:type="dxa"/>
            <w:left w:w="0" w:type="dxa"/>
            <w:bottom w:w="0" w:type="dxa"/>
            <w:right w:w="0" w:type="dxa"/>
          </w:tblCellMar>
        </w:tblPrEx>
        <w:trPr>
          <w:trHeight w:val="984"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提升联合审批系统功能，强化与各审批部门、市政公用服务单位的系统互联互通和协同办理。推行市政公共服务设施接入工程并联审批。</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24"/>
                <w:lang w:bidi="ar"/>
              </w:rPr>
            </w:pPr>
            <w:r>
              <w:rPr>
                <w:rFonts w:hint="eastAsia" w:ascii="仿宋_GB2312" w:hAnsi="宋体" w:eastAsia="仿宋_GB2312" w:cs="仿宋_GB2312"/>
                <w:color w:val="000000"/>
                <w:kern w:val="0"/>
                <w:sz w:val="24"/>
                <w:lang w:bidi="ar"/>
              </w:rPr>
              <w:t>市政务服务办</w:t>
            </w:r>
          </w:p>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市委网信办</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市工程建设项目审批制度改革试点工作领导小组各成员单位，各区人民政府</w:t>
            </w:r>
          </w:p>
        </w:tc>
      </w:tr>
      <w:tr>
        <w:tblPrEx>
          <w:tblCellMar>
            <w:top w:w="0" w:type="dxa"/>
            <w:left w:w="0" w:type="dxa"/>
            <w:bottom w:w="0" w:type="dxa"/>
            <w:right w:w="0" w:type="dxa"/>
          </w:tblCellMar>
        </w:tblPrEx>
        <w:trPr>
          <w:trHeight w:val="780"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Symbol" w:hAnsi="Symbol" w:eastAsia="仿宋_GB2312" w:cs="Symbol"/>
                <w:color w:val="000000"/>
                <w:sz w:val="24"/>
              </w:rPr>
            </w:pPr>
            <w:r>
              <w:rPr>
                <w:rFonts w:ascii="Symbol" w:hAnsi="Symbol" w:eastAsia="仿宋_GB2312" w:cs="Symbol"/>
                <w:color w:val="000000"/>
                <w:kern w:val="0"/>
                <w:sz w:val="24"/>
                <w:lang w:bidi="ar"/>
              </w:rPr>
              <w:t>提升政务服务水平</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梳理公布第一批“四免”事项和“免申即享”事项清单。</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市政务服务办、市公安局、市委网信办</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市级有关单位，各区人民政府</w:t>
            </w:r>
          </w:p>
        </w:tc>
      </w:tr>
      <w:tr>
        <w:tblPrEx>
          <w:tblCellMar>
            <w:top w:w="0" w:type="dxa"/>
            <w:left w:w="0" w:type="dxa"/>
            <w:bottom w:w="0" w:type="dxa"/>
            <w:right w:w="0" w:type="dxa"/>
          </w:tblCellMar>
        </w:tblPrEx>
        <w:trPr>
          <w:trHeight w:val="1093"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落实前台综合受理、后台集成服务。围绕“一件事”开展流程再造，推动场景式审批服务落实落地。</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市政务服务办</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市级有关单位</w:t>
            </w:r>
          </w:p>
        </w:tc>
      </w:tr>
      <w:tr>
        <w:tblPrEx>
          <w:tblCellMar>
            <w:top w:w="0" w:type="dxa"/>
            <w:left w:w="0" w:type="dxa"/>
            <w:bottom w:w="0" w:type="dxa"/>
            <w:right w:w="0" w:type="dxa"/>
          </w:tblCellMar>
        </w:tblPrEx>
        <w:trPr>
          <w:trHeight w:val="489"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序号</w:t>
            </w:r>
          </w:p>
        </w:tc>
        <w:tc>
          <w:tcPr>
            <w:tcW w:w="11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重点任务</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改革措施</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牵头单位</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责任单位</w:t>
            </w:r>
          </w:p>
        </w:tc>
      </w:tr>
      <w:tr>
        <w:tblPrEx>
          <w:tblCellMar>
            <w:top w:w="0" w:type="dxa"/>
            <w:left w:w="0" w:type="dxa"/>
            <w:bottom w:w="0" w:type="dxa"/>
            <w:right w:w="0" w:type="dxa"/>
          </w:tblCellMar>
        </w:tblPrEx>
        <w:trPr>
          <w:trHeight w:val="900"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r>
              <w:rPr>
                <w:rFonts w:ascii="Symbol" w:hAnsi="Symbol" w:eastAsia="仿宋_GB2312" w:cs="Symbol"/>
                <w:color w:val="000000"/>
                <w:kern w:val="0"/>
                <w:sz w:val="24"/>
                <w:lang w:bidi="ar"/>
              </w:rPr>
              <w:t>提升政务服务水平</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研究制定中介超市管理规定，发布《天津市行政审批中介服务要件目录（</w:t>
            </w:r>
            <w:r>
              <w:rPr>
                <w:rFonts w:hint="eastAsia" w:ascii="Nimbus Roman No9 L" w:hAnsi="Nimbus Roman No9 L" w:eastAsia="Nimbus Roman No9 L" w:cs="Nimbus Roman No9 L"/>
                <w:color w:val="000000"/>
                <w:kern w:val="0"/>
                <w:sz w:val="24"/>
                <w:lang w:eastAsia="zh-CN" w:bidi="ar"/>
              </w:rPr>
              <w:t>2</w:t>
            </w:r>
            <w:r>
              <w:rPr>
                <w:rFonts w:hint="eastAsia" w:ascii="Nimbus Roman No9 L" w:hAnsi="Nimbus Roman No9 L" w:eastAsia="Nimbus Roman No9 L" w:cs="Nimbus Roman No9 L"/>
                <w:color w:val="000000"/>
                <w:kern w:val="0"/>
                <w:sz w:val="24"/>
                <w:lang w:val="en-US" w:eastAsia="zh-CN" w:bidi="ar"/>
              </w:rPr>
              <w:t>021</w:t>
            </w:r>
            <w:r>
              <w:rPr>
                <w:rFonts w:hint="eastAsia" w:ascii="仿宋_GB2312" w:hAnsi="宋体" w:eastAsia="仿宋_GB2312" w:cs="仿宋_GB2312"/>
                <w:color w:val="000000"/>
                <w:kern w:val="0"/>
                <w:sz w:val="24"/>
                <w:lang w:bidi="ar"/>
              </w:rPr>
              <w:t>年版）》，完善网上中介超市功能，推广使用扩大应用范围。</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市政务服务办</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市级有关单位</w:t>
            </w:r>
          </w:p>
        </w:tc>
      </w:tr>
      <w:tr>
        <w:tblPrEx>
          <w:tblCellMar>
            <w:top w:w="0" w:type="dxa"/>
            <w:left w:w="0" w:type="dxa"/>
            <w:bottom w:w="0" w:type="dxa"/>
            <w:right w:w="0" w:type="dxa"/>
          </w:tblCellMar>
        </w:tblPrEx>
        <w:trPr>
          <w:trHeight w:val="760"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全面建成政务服务“好差评”制度体系。开发建设便民专线新版综合系统平台，建立“津呼速应”热线服务机制。</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市政务服务办</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市级有关单位</w:t>
            </w:r>
          </w:p>
        </w:tc>
      </w:tr>
      <w:tr>
        <w:tblPrEx>
          <w:tblCellMar>
            <w:top w:w="0" w:type="dxa"/>
            <w:left w:w="0" w:type="dxa"/>
            <w:bottom w:w="0" w:type="dxa"/>
            <w:right w:w="0" w:type="dxa"/>
          </w:tblCellMar>
        </w:tblPrEx>
        <w:trPr>
          <w:trHeight w:val="743"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与国家政务服务平台应接尽接、政务服务事项应上尽上。实现</w:t>
            </w:r>
            <w:r>
              <w:rPr>
                <w:rFonts w:hint="eastAsia" w:ascii="Nimbus Roman No9 L" w:hAnsi="Nimbus Roman No9 L" w:eastAsia="Nimbus Roman No9 L" w:cs="Nimbus Roman No9 L"/>
                <w:color w:val="000000"/>
                <w:kern w:val="0"/>
                <w:sz w:val="24"/>
                <w:lang w:eastAsia="zh-CN" w:bidi="ar"/>
              </w:rPr>
              <w:t>1</w:t>
            </w:r>
            <w:r>
              <w:rPr>
                <w:rFonts w:hint="eastAsia" w:ascii="Nimbus Roman No9 L" w:hAnsi="Nimbus Roman No9 L" w:eastAsia="Nimbus Roman No9 L" w:cs="Nimbus Roman No9 L"/>
                <w:color w:val="000000"/>
                <w:kern w:val="0"/>
                <w:sz w:val="24"/>
                <w:lang w:val="en-US" w:eastAsia="zh-CN" w:bidi="ar"/>
              </w:rPr>
              <w:t>34</w:t>
            </w:r>
            <w:r>
              <w:rPr>
                <w:rFonts w:hint="eastAsia" w:ascii="仿宋_GB2312" w:hAnsi="宋体" w:eastAsia="仿宋_GB2312" w:cs="仿宋_GB2312"/>
                <w:color w:val="000000"/>
                <w:kern w:val="0"/>
                <w:sz w:val="24"/>
                <w:lang w:bidi="ar"/>
              </w:rPr>
              <w:t>个事项“跨省通办”。</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24"/>
                <w:lang w:bidi="ar"/>
              </w:rPr>
            </w:pPr>
            <w:r>
              <w:rPr>
                <w:rFonts w:hint="eastAsia" w:ascii="仿宋_GB2312" w:hAnsi="宋体" w:eastAsia="仿宋_GB2312" w:cs="仿宋_GB2312"/>
                <w:color w:val="000000"/>
                <w:kern w:val="0"/>
                <w:sz w:val="24"/>
                <w:lang w:bidi="ar"/>
              </w:rPr>
              <w:t>市政务服务办</w:t>
            </w:r>
          </w:p>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市委网信办</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市级有关单位</w:t>
            </w:r>
          </w:p>
        </w:tc>
      </w:tr>
      <w:tr>
        <w:tblPrEx>
          <w:tblCellMar>
            <w:top w:w="0" w:type="dxa"/>
            <w:left w:w="0" w:type="dxa"/>
            <w:bottom w:w="0" w:type="dxa"/>
            <w:right w:w="0" w:type="dxa"/>
          </w:tblCellMar>
        </w:tblPrEx>
        <w:trPr>
          <w:trHeight w:val="955"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提升政务服务全程电子化应</w:t>
            </w:r>
            <w:r>
              <w:rPr>
                <w:rFonts w:ascii="Symbol" w:hAnsi="Symbol" w:eastAsia="仿宋_GB2312" w:cs="Symbol"/>
                <w:color w:val="000000"/>
                <w:kern w:val="0"/>
                <w:sz w:val="24"/>
                <w:lang w:bidi="ar"/>
              </w:rPr>
              <w:t>用水平，推动更多政务服务事项</w:t>
            </w:r>
            <w:r>
              <w:rPr>
                <w:rFonts w:hint="eastAsia" w:ascii="Symbol" w:hAnsi="Symbol" w:eastAsia="仿宋_GB2312" w:cs="Symbol"/>
                <w:color w:val="000000"/>
                <w:kern w:val="0"/>
                <w:sz w:val="24"/>
                <w:lang w:eastAsia="zh-CN" w:bidi="ar"/>
              </w:rPr>
              <w:t>“</w:t>
            </w:r>
            <w:r>
              <w:rPr>
                <w:rFonts w:ascii="Symbol" w:hAnsi="Symbol" w:eastAsia="仿宋_GB2312" w:cs="Symbol"/>
                <w:color w:val="000000"/>
                <w:kern w:val="0"/>
                <w:sz w:val="24"/>
                <w:lang w:bidi="ar"/>
              </w:rPr>
              <w:t>一网通办</w:t>
            </w:r>
            <w:r>
              <w:rPr>
                <w:rFonts w:hint="eastAsia" w:ascii="Symbol" w:hAnsi="Symbol" w:eastAsia="仿宋_GB2312" w:cs="Symbol"/>
                <w:color w:val="000000"/>
                <w:kern w:val="0"/>
                <w:sz w:val="24"/>
                <w:lang w:eastAsia="zh-CN" w:bidi="ar"/>
              </w:rPr>
              <w:t>”</w:t>
            </w:r>
            <w:r>
              <w:rPr>
                <w:rFonts w:ascii="Symbol" w:hAnsi="Symbol" w:eastAsia="仿宋_GB2312" w:cs="Symbol"/>
                <w:color w:val="000000"/>
                <w:kern w:val="0"/>
                <w:sz w:val="24"/>
                <w:lang w:bidi="ar"/>
              </w:rPr>
              <w:t>，</w:t>
            </w:r>
            <w:r>
              <w:rPr>
                <w:rFonts w:ascii="Symbol" w:hAnsi="Symbol" w:eastAsia="仿宋_GB2312" w:cs="Symbol"/>
                <w:color w:val="000000"/>
                <w:kern w:val="0"/>
                <w:sz w:val="24"/>
                <w:highlight w:val="none"/>
                <w:lang w:bidi="ar"/>
              </w:rPr>
              <w:t>实现除特殊事项外</w:t>
            </w:r>
            <w:r>
              <w:rPr>
                <w:rFonts w:hint="eastAsia" w:ascii="Symbol" w:hAnsi="Symbol" w:eastAsia="仿宋_GB2312" w:cs="Symbol"/>
                <w:color w:val="000000"/>
                <w:kern w:val="0"/>
                <w:sz w:val="24"/>
                <w:highlight w:val="none"/>
                <w:lang w:eastAsia="zh-CN" w:bidi="ar"/>
              </w:rPr>
              <w:t>均可</w:t>
            </w:r>
            <w:r>
              <w:rPr>
                <w:rFonts w:ascii="Symbol" w:hAnsi="Symbol" w:eastAsia="仿宋_GB2312" w:cs="Symbol"/>
                <w:color w:val="000000"/>
                <w:kern w:val="0"/>
                <w:sz w:val="24"/>
                <w:highlight w:val="none"/>
                <w:lang w:bidi="ar"/>
              </w:rPr>
              <w:t>网上</w:t>
            </w:r>
            <w:r>
              <w:rPr>
                <w:rFonts w:hint="eastAsia" w:ascii="Symbol" w:hAnsi="Symbol" w:eastAsia="仿宋_GB2312" w:cs="Symbol"/>
                <w:color w:val="000000"/>
                <w:kern w:val="0"/>
                <w:sz w:val="24"/>
                <w:highlight w:val="none"/>
                <w:lang w:eastAsia="zh-CN" w:bidi="ar"/>
              </w:rPr>
              <w:t>办理</w:t>
            </w:r>
            <w:r>
              <w:rPr>
                <w:rFonts w:ascii="Symbol" w:hAnsi="Symbol" w:eastAsia="仿宋_GB2312" w:cs="Symbol"/>
                <w:color w:val="000000"/>
                <w:kern w:val="0"/>
                <w:sz w:val="24"/>
                <w:highlight w:val="none"/>
                <w:lang w:bidi="ar"/>
              </w:rPr>
              <w:t>，</w:t>
            </w:r>
            <w:r>
              <w:rPr>
                <w:rFonts w:ascii="Symbol" w:hAnsi="Symbol" w:eastAsia="仿宋_GB2312" w:cs="Symbol"/>
                <w:color w:val="000000"/>
                <w:kern w:val="0"/>
                <w:sz w:val="24"/>
                <w:lang w:bidi="ar"/>
              </w:rPr>
              <w:t>全市自助服务网点达到</w:t>
            </w:r>
            <w:r>
              <w:rPr>
                <w:rFonts w:hint="eastAsia" w:ascii="Nimbus Roman No9 L" w:hAnsi="Nimbus Roman No9 L" w:eastAsia="Nimbus Roman No9 L" w:cs="Nimbus Roman No9 L"/>
                <w:color w:val="000000"/>
                <w:kern w:val="0"/>
                <w:sz w:val="24"/>
                <w:lang w:eastAsia="zh-CN" w:bidi="ar"/>
              </w:rPr>
              <w:t>7</w:t>
            </w:r>
            <w:r>
              <w:rPr>
                <w:rFonts w:hint="eastAsia" w:ascii="Nimbus Roman No9 L" w:hAnsi="Nimbus Roman No9 L" w:eastAsia="Nimbus Roman No9 L" w:cs="Nimbus Roman No9 L"/>
                <w:color w:val="000000"/>
                <w:kern w:val="0"/>
                <w:sz w:val="24"/>
                <w:lang w:val="en-US" w:eastAsia="zh-CN" w:bidi="ar"/>
              </w:rPr>
              <w:t>00</w:t>
            </w:r>
            <w:r>
              <w:rPr>
                <w:rFonts w:ascii="Symbol" w:hAnsi="Symbol" w:eastAsia="仿宋_GB2312" w:cs="Symbol"/>
                <w:color w:val="000000"/>
                <w:kern w:val="0"/>
                <w:sz w:val="24"/>
                <w:lang w:bidi="ar"/>
              </w:rPr>
              <w:t>个以上。</w:t>
            </w:r>
            <w:r>
              <w:rPr>
                <w:rFonts w:hint="eastAsia" w:ascii="Nimbus Roman No9 L" w:hAnsi="Nimbus Roman No9 L" w:eastAsia="Nimbus Roman No9 L" w:cs="Nimbus Roman No9 L"/>
                <w:color w:val="000000"/>
                <w:kern w:val="0"/>
                <w:sz w:val="24"/>
                <w:lang w:eastAsia="zh-CN" w:bidi="ar"/>
              </w:rPr>
              <w:t>5</w:t>
            </w:r>
            <w:r>
              <w:rPr>
                <w:rFonts w:hint="eastAsia" w:ascii="Nimbus Roman No9 L" w:hAnsi="Nimbus Roman No9 L" w:eastAsia="Nimbus Roman No9 L" w:cs="Nimbus Roman No9 L"/>
                <w:color w:val="000000"/>
                <w:kern w:val="0"/>
                <w:sz w:val="24"/>
                <w:lang w:val="en-US" w:eastAsia="zh-CN" w:bidi="ar"/>
              </w:rPr>
              <w:t>0</w:t>
            </w:r>
            <w:r>
              <w:rPr>
                <w:rFonts w:ascii="Symbol" w:hAnsi="Symbol" w:eastAsia="仿宋_GB2312" w:cs="Symbol"/>
                <w:color w:val="000000"/>
                <w:kern w:val="0"/>
                <w:sz w:val="24"/>
                <w:lang w:bidi="ar"/>
              </w:rPr>
              <w:t>的地区和部门开设政务服务</w:t>
            </w:r>
            <w:r>
              <w:rPr>
                <w:rFonts w:hint="eastAsia" w:ascii="Symbol" w:hAnsi="Symbol" w:eastAsia="仿宋_GB2312" w:cs="Symbol"/>
                <w:color w:val="000000"/>
                <w:kern w:val="0"/>
                <w:sz w:val="24"/>
                <w:lang w:eastAsia="zh-CN" w:bidi="ar"/>
              </w:rPr>
              <w:t>“</w:t>
            </w:r>
            <w:r>
              <w:rPr>
                <w:rFonts w:ascii="Symbol" w:hAnsi="Symbol" w:eastAsia="仿宋_GB2312" w:cs="Symbol"/>
                <w:color w:val="000000"/>
                <w:kern w:val="0"/>
                <w:sz w:val="24"/>
                <w:lang w:bidi="ar"/>
              </w:rPr>
              <w:t>旗舰店</w:t>
            </w:r>
            <w:r>
              <w:rPr>
                <w:rFonts w:hint="eastAsia" w:ascii="Symbol" w:hAnsi="Symbol" w:eastAsia="仿宋_GB2312" w:cs="Symbol"/>
                <w:color w:val="000000"/>
                <w:kern w:val="0"/>
                <w:sz w:val="24"/>
                <w:lang w:eastAsia="zh-CN" w:bidi="ar"/>
              </w:rPr>
              <w:t>”</w:t>
            </w:r>
            <w:r>
              <w:rPr>
                <w:rFonts w:ascii="Symbol" w:hAnsi="Symbol" w:eastAsia="仿宋_GB2312" w:cs="Symbol"/>
                <w:color w:val="000000"/>
                <w:kern w:val="0"/>
                <w:sz w:val="24"/>
                <w:lang w:bidi="ar"/>
              </w:rPr>
              <w:t>。</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24"/>
                <w:lang w:bidi="ar"/>
              </w:rPr>
            </w:pPr>
            <w:r>
              <w:rPr>
                <w:rFonts w:hint="eastAsia" w:ascii="仿宋_GB2312" w:hAnsi="宋体" w:eastAsia="仿宋_GB2312" w:cs="仿宋_GB2312"/>
                <w:color w:val="000000"/>
                <w:kern w:val="0"/>
                <w:sz w:val="24"/>
                <w:lang w:bidi="ar"/>
              </w:rPr>
              <w:t>市委网信办</w:t>
            </w:r>
          </w:p>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市政务服务办</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市级有关单位，各区人民政府</w:t>
            </w:r>
          </w:p>
        </w:tc>
      </w:tr>
      <w:tr>
        <w:tblPrEx>
          <w:tblCellMar>
            <w:top w:w="0" w:type="dxa"/>
            <w:left w:w="0" w:type="dxa"/>
            <w:bottom w:w="0" w:type="dxa"/>
            <w:right w:w="0" w:type="dxa"/>
          </w:tblCellMar>
        </w:tblPrEx>
        <w:trPr>
          <w:trHeight w:val="840"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Symbol" w:hAnsi="Symbol" w:eastAsia="仿宋_GB2312" w:cs="Symbol"/>
                <w:color w:val="000000"/>
                <w:sz w:val="24"/>
              </w:rPr>
            </w:pPr>
            <w:r>
              <w:rPr>
                <w:rFonts w:ascii="Symbol" w:hAnsi="Symbol" w:eastAsia="仿宋_GB2312" w:cs="Symbol"/>
                <w:color w:val="000000"/>
                <w:kern w:val="0"/>
                <w:sz w:val="24"/>
                <w:lang w:bidi="ar"/>
              </w:rPr>
              <w:t>提高不动产登记效率</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企业间转移登记全部实现即时办结。建立不动产登记保险制度。推动不动产登记业务进驻静海区、北辰区政务服务中心。</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市规划资源局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市住房城乡建设委、市财政局，静海区、北辰区人民政府</w:t>
            </w:r>
          </w:p>
        </w:tc>
      </w:tr>
      <w:tr>
        <w:tblPrEx>
          <w:tblCellMar>
            <w:top w:w="0" w:type="dxa"/>
            <w:left w:w="0" w:type="dxa"/>
            <w:bottom w:w="0" w:type="dxa"/>
            <w:right w:w="0" w:type="dxa"/>
          </w:tblCellMar>
        </w:tblPrEx>
        <w:trPr>
          <w:trHeight w:val="770"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推动不动产登记通过</w:t>
            </w:r>
            <w:r>
              <w:rPr>
                <w:rFonts w:hint="eastAsia" w:ascii="仿宋_GB2312" w:hAnsi="宋体" w:eastAsia="仿宋_GB2312" w:cs="仿宋_GB2312"/>
                <w:color w:val="000000"/>
                <w:kern w:val="0"/>
                <w:sz w:val="24"/>
                <w:highlight w:val="none"/>
                <w:lang w:eastAsia="zh-CN" w:bidi="ar"/>
              </w:rPr>
              <w:t>天津</w:t>
            </w:r>
            <w:r>
              <w:rPr>
                <w:rFonts w:hint="eastAsia" w:ascii="仿宋_GB2312" w:hAnsi="宋体" w:eastAsia="仿宋_GB2312" w:cs="仿宋_GB2312"/>
                <w:color w:val="000000"/>
                <w:kern w:val="0"/>
                <w:sz w:val="24"/>
                <w:highlight w:val="none"/>
                <w:lang w:bidi="ar"/>
              </w:rPr>
              <w:t>网上办事大厅</w:t>
            </w:r>
            <w:r>
              <w:rPr>
                <w:rFonts w:hint="eastAsia" w:ascii="仿宋_GB2312" w:hAnsi="宋体" w:eastAsia="仿宋_GB2312" w:cs="仿宋_GB2312"/>
                <w:color w:val="000000"/>
                <w:kern w:val="0"/>
                <w:sz w:val="24"/>
                <w:lang w:bidi="ar"/>
              </w:rPr>
              <w:t>、“津心办”APP办理。不动产登记纳入电子证照库实时共享。</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市规划资源局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市政务服务办、市委网信办</w:t>
            </w:r>
          </w:p>
        </w:tc>
      </w:tr>
      <w:tr>
        <w:tblPrEx>
          <w:tblCellMar>
            <w:top w:w="0" w:type="dxa"/>
            <w:left w:w="0" w:type="dxa"/>
            <w:bottom w:w="0" w:type="dxa"/>
            <w:right w:w="0" w:type="dxa"/>
          </w:tblCellMar>
        </w:tblPrEx>
        <w:trPr>
          <w:trHeight w:val="1332"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Symbol" w:hAnsi="Symbol" w:eastAsia="仿宋_GB2312" w:cs="Symbol"/>
                <w:color w:val="000000"/>
                <w:sz w:val="24"/>
              </w:rPr>
            </w:pPr>
            <w:r>
              <w:rPr>
                <w:rFonts w:ascii="Symbol" w:hAnsi="Symbol" w:eastAsia="仿宋_GB2312" w:cs="Symbol"/>
                <w:color w:val="000000"/>
                <w:kern w:val="0"/>
                <w:sz w:val="24"/>
                <w:lang w:bidi="ar"/>
              </w:rPr>
              <w:t>完善市场监管机制</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建设全市统一的“双随机、一公开”监管信息化平台，完善随机抽查系统功能，实现抽查事项清单管理、执法人员库管理、检查对象库管理、随机匹配、检查结果管理、部门联合抽查工作流程等功能。推动全市各监管部门进驻和使用同一平台。</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市市场监管委</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市级“双随机、一公开”监管联席会议各成员单位，各区人民政府</w:t>
            </w:r>
          </w:p>
        </w:tc>
      </w:tr>
      <w:tr>
        <w:tblPrEx>
          <w:tblCellMar>
            <w:top w:w="0" w:type="dxa"/>
            <w:left w:w="0" w:type="dxa"/>
            <w:bottom w:w="0" w:type="dxa"/>
            <w:right w:w="0" w:type="dxa"/>
          </w:tblCellMar>
        </w:tblPrEx>
        <w:trPr>
          <w:trHeight w:val="1778"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Style w:val="11"/>
                <w:rFonts w:hint="default" w:hAnsi="宋体"/>
                <w:lang w:bidi="ar"/>
              </w:rPr>
              <w:t>加强“互联网”系统建设，完成市级部门及各区监管事项目录清单精细化梳理、检查实施清单</w:t>
            </w:r>
            <w:r>
              <w:rPr>
                <w:rStyle w:val="12"/>
                <w:rFonts w:hint="default" w:hAnsi="宋体"/>
                <w:lang w:bidi="ar"/>
              </w:rPr>
              <w:t>完备度订正等</w:t>
            </w:r>
            <w:r>
              <w:rPr>
                <w:rStyle w:val="11"/>
                <w:rFonts w:hint="default" w:hAnsi="宋体"/>
                <w:lang w:bidi="ar"/>
              </w:rPr>
              <w:t>工作。推动各区、各市级部门监管事项目录、综合监管、风险预警、监管APP等子系统的应用。支撑全市“双随机一公开”检查，按国家要求做好与国家“互联网+监管”系统“双随机、一公开”模块对接。</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市委网信办</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市委网信办、市市场监管委等有关单位</w:t>
            </w:r>
          </w:p>
        </w:tc>
      </w:tr>
      <w:tr>
        <w:tblPrEx>
          <w:tblCellMar>
            <w:top w:w="0" w:type="dxa"/>
            <w:left w:w="0" w:type="dxa"/>
            <w:bottom w:w="0" w:type="dxa"/>
            <w:right w:w="0" w:type="dxa"/>
          </w:tblCellMar>
        </w:tblPrEx>
        <w:trPr>
          <w:trHeight w:val="489"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序号</w:t>
            </w:r>
          </w:p>
        </w:tc>
        <w:tc>
          <w:tcPr>
            <w:tcW w:w="11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重点任务</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改革措施</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牵头单位</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责任单位</w:t>
            </w:r>
          </w:p>
        </w:tc>
      </w:tr>
      <w:tr>
        <w:tblPrEx>
          <w:tblCellMar>
            <w:top w:w="0" w:type="dxa"/>
            <w:left w:w="0" w:type="dxa"/>
            <w:bottom w:w="0" w:type="dxa"/>
            <w:right w:w="0" w:type="dxa"/>
          </w:tblCellMar>
        </w:tblPrEx>
        <w:trPr>
          <w:trHeight w:val="90"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Symbol" w:hAnsi="Symbol" w:eastAsia="仿宋_GB2312" w:cs="Symbol"/>
                <w:color w:val="000000"/>
                <w:sz w:val="24"/>
              </w:rPr>
            </w:pPr>
            <w:r>
              <w:rPr>
                <w:rFonts w:ascii="Symbol" w:hAnsi="Symbol" w:eastAsia="仿宋_GB2312" w:cs="Symbol"/>
                <w:color w:val="000000"/>
                <w:kern w:val="0"/>
                <w:sz w:val="24"/>
                <w:lang w:bidi="ar"/>
              </w:rPr>
              <w:t>加强劳动力市场监管</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优化人社网厅办理就业登记模块，用人单位可在网上查询员工就失业登记相关信息和社保关联信息。</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市人社局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color w:val="000000"/>
                <w:sz w:val="24"/>
                <w:lang w:eastAsia="zh-CN"/>
              </w:rPr>
            </w:pPr>
            <w:r>
              <w:rPr>
                <w:rFonts w:hint="eastAsia" w:ascii="仿宋_GB2312" w:hAnsi="宋体" w:eastAsia="仿宋_GB2312" w:cs="仿宋_GB2312"/>
                <w:color w:val="000000"/>
                <w:sz w:val="24"/>
                <w:lang w:eastAsia="zh-CN"/>
              </w:rPr>
              <w:t>——</w:t>
            </w:r>
          </w:p>
        </w:tc>
      </w:tr>
      <w:tr>
        <w:tblPrEx>
          <w:tblCellMar>
            <w:top w:w="0" w:type="dxa"/>
            <w:left w:w="0" w:type="dxa"/>
            <w:bottom w:w="0" w:type="dxa"/>
            <w:right w:w="0" w:type="dxa"/>
          </w:tblCellMar>
        </w:tblPrEx>
        <w:trPr>
          <w:trHeight w:val="372"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针对新业态、新技术、新工艺行业，开展</w:t>
            </w:r>
            <w:r>
              <w:rPr>
                <w:rFonts w:ascii="Symbol" w:hAnsi="Symbol" w:eastAsia="仿宋_GB2312" w:cs="Symbol"/>
                <w:color w:val="000000"/>
                <w:kern w:val="0"/>
                <w:sz w:val="24"/>
                <w:lang w:bidi="ar"/>
              </w:rPr>
              <w:t></w:t>
            </w:r>
            <w:r>
              <w:rPr>
                <w:rFonts w:hint="eastAsia" w:ascii="仿宋_GB2312" w:hAnsi="宋体" w:eastAsia="仿宋_GB2312" w:cs="仿宋_GB2312"/>
                <w:color w:val="000000"/>
                <w:kern w:val="0"/>
                <w:sz w:val="24"/>
                <w:lang w:bidi="ar"/>
              </w:rPr>
              <w:t>个项目的定制培训。</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市人社局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color w:val="000000"/>
                <w:sz w:val="24"/>
                <w:lang w:eastAsia="zh-CN"/>
              </w:rPr>
            </w:pPr>
            <w:r>
              <w:rPr>
                <w:rFonts w:hint="eastAsia" w:ascii="仿宋_GB2312" w:hAnsi="宋体" w:eastAsia="仿宋_GB2312" w:cs="仿宋_GB2312"/>
                <w:color w:val="000000"/>
                <w:sz w:val="24"/>
                <w:lang w:eastAsia="zh-CN"/>
              </w:rPr>
              <w:t>——</w:t>
            </w:r>
          </w:p>
        </w:tc>
      </w:tr>
      <w:tr>
        <w:tblPrEx>
          <w:tblCellMar>
            <w:top w:w="0" w:type="dxa"/>
            <w:left w:w="0" w:type="dxa"/>
            <w:bottom w:w="0" w:type="dxa"/>
            <w:right w:w="0" w:type="dxa"/>
          </w:tblCellMar>
        </w:tblPrEx>
        <w:trPr>
          <w:trHeight w:val="435"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Symbol" w:hAnsi="Symbol" w:eastAsia="仿宋_GB2312" w:cs="Symbol"/>
                <w:color w:val="000000"/>
                <w:sz w:val="24"/>
              </w:rPr>
            </w:pPr>
            <w:r>
              <w:rPr>
                <w:rFonts w:ascii="Symbol" w:hAnsi="Symbol" w:eastAsia="仿宋_GB2312" w:cs="Symbol"/>
                <w:color w:val="000000"/>
                <w:kern w:val="0"/>
                <w:sz w:val="24"/>
                <w:lang w:bidi="ar"/>
              </w:rPr>
              <w:t>优化纳税服务</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加快推进增值税、消费税同城市维护建设税等附加税费合并申报。</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市税务局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市财政局</w:t>
            </w:r>
          </w:p>
        </w:tc>
      </w:tr>
      <w:tr>
        <w:tblPrEx>
          <w:tblCellMar>
            <w:top w:w="0" w:type="dxa"/>
            <w:left w:w="0" w:type="dxa"/>
            <w:bottom w:w="0" w:type="dxa"/>
            <w:right w:w="0" w:type="dxa"/>
          </w:tblCellMar>
        </w:tblPrEx>
        <w:trPr>
          <w:trHeight w:val="650"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推动实现除个别特殊、复杂事项外企业办税缴费事项网上办理。</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市税务局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市财政局、市人社局、市公积金管理中心、市医保局</w:t>
            </w:r>
          </w:p>
        </w:tc>
      </w:tr>
      <w:tr>
        <w:tblPrEx>
          <w:tblCellMar>
            <w:top w:w="0" w:type="dxa"/>
            <w:left w:w="0" w:type="dxa"/>
            <w:bottom w:w="0" w:type="dxa"/>
            <w:right w:w="0" w:type="dxa"/>
          </w:tblCellMar>
        </w:tblPrEx>
        <w:trPr>
          <w:trHeight w:val="353"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将办理正常出口退税业务的平均时间压缩至</w:t>
            </w:r>
            <w:r>
              <w:rPr>
                <w:rFonts w:ascii="Symbol" w:hAnsi="Symbol" w:eastAsia="仿宋_GB2312" w:cs="Symbol"/>
                <w:color w:val="000000"/>
                <w:kern w:val="0"/>
                <w:sz w:val="24"/>
                <w:lang w:bidi="ar"/>
              </w:rPr>
              <w:t></w:t>
            </w:r>
            <w:r>
              <w:rPr>
                <w:rFonts w:hint="eastAsia" w:ascii="仿宋_GB2312" w:hAnsi="宋体" w:eastAsia="仿宋_GB2312" w:cs="仿宋_GB2312"/>
                <w:color w:val="000000"/>
                <w:kern w:val="0"/>
                <w:sz w:val="24"/>
                <w:lang w:bidi="ar"/>
              </w:rPr>
              <w:t>个工作日。</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市税务局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人民银行天津分行、天津海关</w:t>
            </w:r>
          </w:p>
        </w:tc>
      </w:tr>
      <w:tr>
        <w:tblPrEx>
          <w:tblCellMar>
            <w:top w:w="0" w:type="dxa"/>
            <w:left w:w="0" w:type="dxa"/>
            <w:bottom w:w="0" w:type="dxa"/>
            <w:right w:w="0" w:type="dxa"/>
          </w:tblCellMar>
        </w:tblPrEx>
        <w:trPr>
          <w:trHeight w:val="1540"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Symbol" w:hAnsi="Symbol" w:eastAsia="仿宋_GB2312" w:cs="Symbol"/>
                <w:color w:val="000000"/>
                <w:sz w:val="24"/>
              </w:rPr>
            </w:pPr>
            <w:r>
              <w:rPr>
                <w:rFonts w:ascii="Symbol" w:hAnsi="Symbol" w:eastAsia="仿宋_GB2312" w:cs="Symbol"/>
                <w:color w:val="000000"/>
                <w:kern w:val="0"/>
                <w:sz w:val="24"/>
                <w:lang w:bidi="ar"/>
              </w:rPr>
              <w:t>提升企业获得电力服务</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优化调整与客户交互流程，实现低压客户办电“受理签约”、“装表接电”</w:t>
            </w:r>
            <w:r>
              <w:rPr>
                <w:rFonts w:ascii="Symbol" w:hAnsi="Symbol" w:eastAsia="仿宋_GB2312" w:cs="Symbol"/>
                <w:color w:val="000000"/>
                <w:kern w:val="0"/>
                <w:sz w:val="24"/>
                <w:lang w:bidi="ar"/>
              </w:rPr>
              <w:t>个环节</w:t>
            </w:r>
            <w:r>
              <w:rPr>
                <w:rFonts w:hint="eastAsia" w:ascii="Symbol" w:hAnsi="Symbol" w:eastAsia="仿宋_GB2312" w:cs="Symbol"/>
                <w:color w:val="000000"/>
                <w:kern w:val="0"/>
                <w:sz w:val="24"/>
                <w:lang w:bidi="ar"/>
              </w:rPr>
              <w:t>办结</w:t>
            </w:r>
            <w:r>
              <w:rPr>
                <w:rFonts w:ascii="Symbol" w:hAnsi="Symbol" w:eastAsia="仿宋_GB2312" w:cs="Symbol"/>
                <w:color w:val="000000"/>
                <w:kern w:val="0"/>
                <w:sz w:val="24"/>
                <w:lang w:bidi="ar"/>
              </w:rPr>
              <w:t>，客户平均办电时间压缩至个工作日。</w:t>
            </w:r>
            <w:r>
              <w:rPr>
                <w:rFonts w:hint="eastAsia" w:ascii="Symbol" w:hAnsi="Symbol" w:eastAsia="仿宋_GB2312" w:cs="Symbol"/>
                <w:color w:val="000000"/>
                <w:kern w:val="0"/>
                <w:sz w:val="24"/>
                <w:lang w:bidi="ar"/>
              </w:rPr>
              <w:t>“</w:t>
            </w:r>
            <w:r>
              <w:rPr>
                <w:rFonts w:ascii="Symbol" w:hAnsi="Symbol" w:eastAsia="仿宋_GB2312" w:cs="Symbol"/>
                <w:color w:val="000000"/>
                <w:kern w:val="0"/>
                <w:sz w:val="24"/>
                <w:lang w:bidi="ar"/>
              </w:rPr>
              <w:t>竣工验收、合同签订和装表接电</w:t>
            </w:r>
            <w:r>
              <w:rPr>
                <w:rFonts w:hint="eastAsia" w:ascii="Symbol" w:hAnsi="Symbol" w:eastAsia="仿宋_GB2312" w:cs="Symbol"/>
                <w:color w:val="000000"/>
                <w:kern w:val="0"/>
                <w:sz w:val="24"/>
                <w:lang w:bidi="ar"/>
              </w:rPr>
              <w:t>”</w:t>
            </w:r>
            <w:r>
              <w:rPr>
                <w:rFonts w:ascii="Symbol" w:hAnsi="Symbol" w:eastAsia="仿宋_GB2312" w:cs="Symbol"/>
                <w:color w:val="000000"/>
                <w:kern w:val="0"/>
                <w:sz w:val="24"/>
                <w:lang w:bidi="ar"/>
              </w:rPr>
              <w:t>并行办理，实现高压客户办电</w:t>
            </w:r>
            <w:r>
              <w:rPr>
                <w:rFonts w:hint="eastAsia" w:ascii="Symbol" w:hAnsi="Symbol" w:eastAsia="仿宋_GB2312" w:cs="Symbol"/>
                <w:color w:val="000000"/>
                <w:kern w:val="0"/>
                <w:sz w:val="24"/>
                <w:lang w:bidi="ar"/>
              </w:rPr>
              <w:t>“</w:t>
            </w:r>
            <w:r>
              <w:rPr>
                <w:rFonts w:ascii="Symbol" w:hAnsi="Symbol" w:eastAsia="仿宋_GB2312" w:cs="Symbol"/>
                <w:color w:val="000000"/>
                <w:kern w:val="0"/>
                <w:sz w:val="24"/>
                <w:lang w:bidi="ar"/>
              </w:rPr>
              <w:t>受理申请</w:t>
            </w:r>
            <w:r>
              <w:rPr>
                <w:rFonts w:hint="eastAsia" w:ascii="Symbol" w:hAnsi="Symbol" w:eastAsia="仿宋_GB2312" w:cs="Symbol"/>
                <w:color w:val="000000"/>
                <w:kern w:val="0"/>
                <w:sz w:val="24"/>
                <w:lang w:bidi="ar"/>
              </w:rPr>
              <w:t>”</w:t>
            </w:r>
            <w:r>
              <w:rPr>
                <w:rFonts w:ascii="Symbol" w:hAnsi="Symbol" w:eastAsia="仿宋_GB2312" w:cs="Symbol"/>
                <w:color w:val="000000"/>
                <w:kern w:val="0"/>
                <w:sz w:val="24"/>
                <w:lang w:bidi="ar"/>
              </w:rPr>
              <w:t>、</w:t>
            </w:r>
            <w:r>
              <w:rPr>
                <w:rFonts w:hint="eastAsia" w:ascii="Symbol" w:hAnsi="Symbol" w:eastAsia="仿宋_GB2312" w:cs="Symbol"/>
                <w:color w:val="000000"/>
                <w:kern w:val="0"/>
                <w:sz w:val="24"/>
                <w:lang w:bidi="ar"/>
              </w:rPr>
              <w:t>“</w:t>
            </w:r>
            <w:r>
              <w:rPr>
                <w:rFonts w:ascii="Symbol" w:hAnsi="Symbol" w:eastAsia="仿宋_GB2312" w:cs="Symbol"/>
                <w:color w:val="000000"/>
                <w:kern w:val="0"/>
                <w:sz w:val="24"/>
                <w:lang w:bidi="ar"/>
              </w:rPr>
              <w:t>供电方案答复</w:t>
            </w:r>
            <w:r>
              <w:rPr>
                <w:rFonts w:hint="eastAsia" w:ascii="Symbol" w:hAnsi="Symbol" w:eastAsia="仿宋_GB2312" w:cs="Symbol"/>
                <w:color w:val="000000"/>
                <w:kern w:val="0"/>
                <w:sz w:val="24"/>
                <w:lang w:bidi="ar"/>
              </w:rPr>
              <w:t>”</w:t>
            </w:r>
            <w:r>
              <w:rPr>
                <w:rFonts w:ascii="Symbol" w:hAnsi="Symbol" w:eastAsia="仿宋_GB2312" w:cs="Symbol"/>
                <w:color w:val="000000"/>
                <w:kern w:val="0"/>
                <w:sz w:val="24"/>
                <w:lang w:bidi="ar"/>
              </w:rPr>
              <w:t>、</w:t>
            </w:r>
            <w:r>
              <w:rPr>
                <w:rFonts w:hint="eastAsia" w:ascii="Symbol" w:hAnsi="Symbol" w:eastAsia="仿宋_GB2312" w:cs="Symbol"/>
                <w:color w:val="000000"/>
                <w:kern w:val="0"/>
                <w:sz w:val="24"/>
                <w:lang w:bidi="ar"/>
              </w:rPr>
              <w:t>“</w:t>
            </w:r>
            <w:r>
              <w:rPr>
                <w:rFonts w:ascii="Symbol" w:hAnsi="Symbol" w:eastAsia="仿宋_GB2312" w:cs="Symbol"/>
                <w:color w:val="000000"/>
                <w:kern w:val="0"/>
                <w:sz w:val="24"/>
                <w:lang w:bidi="ar"/>
              </w:rPr>
              <w:t>竣工接电</w:t>
            </w:r>
            <w:r>
              <w:rPr>
                <w:rFonts w:hint="eastAsia" w:ascii="Symbol" w:hAnsi="Symbol" w:eastAsia="仿宋_GB2312" w:cs="Symbol"/>
                <w:color w:val="000000"/>
                <w:kern w:val="0"/>
                <w:sz w:val="24"/>
                <w:lang w:bidi="ar"/>
              </w:rPr>
              <w:t>”</w:t>
            </w:r>
            <w:r>
              <w:rPr>
                <w:rFonts w:ascii="Symbol" w:hAnsi="Symbol" w:eastAsia="仿宋_GB2312" w:cs="Symbol"/>
                <w:color w:val="000000"/>
                <w:kern w:val="0"/>
                <w:sz w:val="24"/>
                <w:lang w:bidi="ar"/>
              </w:rPr>
              <w:t>个环节</w:t>
            </w:r>
            <w:r>
              <w:rPr>
                <w:rFonts w:hint="eastAsia" w:ascii="Symbol" w:hAnsi="Symbol" w:eastAsia="仿宋_GB2312" w:cs="Symbol"/>
                <w:color w:val="000000"/>
                <w:kern w:val="0"/>
                <w:sz w:val="24"/>
                <w:lang w:bidi="ar"/>
              </w:rPr>
              <w:t>办结</w:t>
            </w:r>
            <w:r>
              <w:rPr>
                <w:rFonts w:ascii="Symbol" w:hAnsi="Symbol" w:eastAsia="仿宋_GB2312" w:cs="Symbol"/>
                <w:color w:val="000000"/>
                <w:kern w:val="0"/>
                <w:sz w:val="24"/>
                <w:lang w:bidi="ar"/>
              </w:rPr>
              <w:t>，高压千伏客户平均办电时间压缩至个工作日。</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国网天津市电力公司</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color w:val="000000"/>
                <w:sz w:val="24"/>
                <w:lang w:eastAsia="zh-CN"/>
              </w:rPr>
            </w:pPr>
            <w:r>
              <w:rPr>
                <w:rFonts w:hint="eastAsia" w:ascii="仿宋_GB2312" w:hAnsi="宋体" w:eastAsia="仿宋_GB2312" w:cs="仿宋_GB2312"/>
                <w:color w:val="000000"/>
                <w:sz w:val="24"/>
                <w:lang w:eastAsia="zh-CN"/>
              </w:rPr>
              <w:t>——</w:t>
            </w:r>
          </w:p>
        </w:tc>
      </w:tr>
      <w:tr>
        <w:tblPrEx>
          <w:tblCellMar>
            <w:top w:w="0" w:type="dxa"/>
            <w:left w:w="0" w:type="dxa"/>
            <w:bottom w:w="0" w:type="dxa"/>
            <w:right w:w="0" w:type="dxa"/>
          </w:tblCellMar>
        </w:tblPrEx>
        <w:trPr>
          <w:trHeight w:val="680"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优化升级“网上国网”线上办电功能，实现“刷脸办电”。优化营业执照、不动产权等证照线上获取方式，实现企业客户办电“零要件”。</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国网天津市电力公司</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市委网信办、市公安局、市政务服务办、市市场监管委、市规划资源局</w:t>
            </w:r>
          </w:p>
        </w:tc>
      </w:tr>
      <w:tr>
        <w:tblPrEx>
          <w:tblCellMar>
            <w:top w:w="0" w:type="dxa"/>
            <w:left w:w="0" w:type="dxa"/>
            <w:bottom w:w="0" w:type="dxa"/>
            <w:right w:w="0" w:type="dxa"/>
          </w:tblCellMar>
        </w:tblPrEx>
        <w:trPr>
          <w:trHeight w:val="967"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推动相关部门与国网天津市电力公司建立电力接入工程信息资料线上流转渠道，实现电力工程“免审批”线上流转、在线备案。</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国网天津市电力公司</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市政务服务办、市发展改革委、市规划资源局、市城市管理委、市水务局、市委网信办、市公安局</w:t>
            </w:r>
          </w:p>
        </w:tc>
      </w:tr>
      <w:tr>
        <w:tblPrEx>
          <w:tblCellMar>
            <w:top w:w="0" w:type="dxa"/>
            <w:left w:w="0" w:type="dxa"/>
            <w:bottom w:w="0" w:type="dxa"/>
            <w:right w:w="0" w:type="dxa"/>
          </w:tblCellMar>
        </w:tblPrEx>
        <w:trPr>
          <w:trHeight w:val="900"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推动电力业务系统与“政务一网通”</w:t>
            </w:r>
            <w:r>
              <w:rPr>
                <w:rFonts w:hint="eastAsia" w:ascii="仿宋_GB2312" w:hAnsi="宋体" w:eastAsia="仿宋_GB2312" w:cs="仿宋_GB2312"/>
                <w:color w:val="000000"/>
                <w:kern w:val="0"/>
                <w:sz w:val="24"/>
                <w:lang w:eastAsia="zh-CN" w:bidi="ar"/>
              </w:rPr>
              <w:t>、</w:t>
            </w:r>
            <w:r>
              <w:rPr>
                <w:rFonts w:hint="eastAsia" w:ascii="仿宋_GB2312" w:hAnsi="宋体" w:eastAsia="仿宋_GB2312" w:cs="仿宋_GB2312"/>
                <w:color w:val="000000"/>
                <w:kern w:val="0"/>
                <w:sz w:val="24"/>
                <w:lang w:bidi="ar"/>
              </w:rPr>
              <w:t>“天津市工程建设项目联合审批系统”平台互联互通，在线获取项目立项等相关审批信息，构建前期用电储备库，实现办电服务关口前移和延伸，超前开展电网布局规划和建设。</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国网天津市电力公司</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color w:val="000000"/>
                <w:sz w:val="24"/>
                <w:lang w:eastAsia="zh-CN"/>
              </w:rPr>
            </w:pPr>
            <w:r>
              <w:rPr>
                <w:rFonts w:hint="eastAsia" w:ascii="仿宋_GB2312" w:hAnsi="宋体" w:eastAsia="仿宋_GB2312" w:cs="仿宋_GB2312"/>
                <w:color w:val="000000"/>
                <w:sz w:val="24"/>
                <w:lang w:eastAsia="zh-CN"/>
              </w:rPr>
              <w:t>——</w:t>
            </w:r>
          </w:p>
        </w:tc>
      </w:tr>
      <w:tr>
        <w:tblPrEx>
          <w:tblCellMar>
            <w:top w:w="0" w:type="dxa"/>
            <w:left w:w="0" w:type="dxa"/>
            <w:bottom w:w="0" w:type="dxa"/>
            <w:right w:w="0" w:type="dxa"/>
          </w:tblCellMar>
        </w:tblPrEx>
        <w:trPr>
          <w:trHeight w:val="829"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研究编制适合我市实际的供电可靠性管控边界条件，出台《天津电网供电可靠性管制计划（试行）》。</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国网天津市电力公司</w:t>
            </w:r>
          </w:p>
        </w:tc>
        <w:tc>
          <w:tcPr>
            <w:tcW w:w="352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市工业和信息化局</w:t>
            </w:r>
          </w:p>
        </w:tc>
      </w:tr>
      <w:tr>
        <w:tblPrEx>
          <w:tblCellMar>
            <w:top w:w="0" w:type="dxa"/>
            <w:left w:w="0" w:type="dxa"/>
            <w:bottom w:w="0" w:type="dxa"/>
            <w:right w:w="0" w:type="dxa"/>
          </w:tblCellMar>
        </w:tblPrEx>
        <w:trPr>
          <w:trHeight w:val="489"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序号</w:t>
            </w:r>
          </w:p>
        </w:tc>
        <w:tc>
          <w:tcPr>
            <w:tcW w:w="11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重点任务</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改革措施</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牵头单位</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责任单位</w:t>
            </w:r>
          </w:p>
        </w:tc>
      </w:tr>
      <w:tr>
        <w:tblPrEx>
          <w:tblCellMar>
            <w:top w:w="0" w:type="dxa"/>
            <w:left w:w="0" w:type="dxa"/>
            <w:bottom w:w="0" w:type="dxa"/>
            <w:right w:w="0" w:type="dxa"/>
          </w:tblCellMar>
        </w:tblPrEx>
        <w:trPr>
          <w:trHeight w:val="853"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Symbol" w:hAnsi="Symbol" w:eastAsia="仿宋_GB2312" w:cs="Symbol"/>
                <w:color w:val="000000"/>
                <w:sz w:val="24"/>
              </w:rPr>
            </w:pPr>
            <w:r>
              <w:rPr>
                <w:rFonts w:ascii="Symbol" w:hAnsi="Symbol" w:eastAsia="仿宋_GB2312" w:cs="Symbol"/>
                <w:color w:val="000000"/>
                <w:kern w:val="0"/>
                <w:sz w:val="24"/>
                <w:lang w:bidi="ar"/>
              </w:rPr>
              <w:t>提高获得用水用气效率</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优化用水用气报装流</w:t>
            </w:r>
            <w:r>
              <w:rPr>
                <w:rFonts w:ascii="Symbol" w:hAnsi="Symbol" w:eastAsia="仿宋_GB2312" w:cs="Symbol"/>
                <w:color w:val="000000"/>
                <w:kern w:val="0"/>
                <w:sz w:val="24"/>
                <w:lang w:bidi="ar"/>
              </w:rPr>
              <w:t>程，市内六区小微项目个工作日</w:t>
            </w:r>
            <w:r>
              <w:rPr>
                <w:rFonts w:hint="eastAsia" w:ascii="Symbol" w:hAnsi="Symbol" w:eastAsia="仿宋_GB2312" w:cs="Symbol"/>
                <w:color w:val="000000"/>
                <w:kern w:val="0"/>
                <w:sz w:val="24"/>
                <w:lang w:bidi="ar"/>
              </w:rPr>
              <w:t>内</w:t>
            </w:r>
            <w:r>
              <w:rPr>
                <w:rFonts w:ascii="Symbol" w:hAnsi="Symbol" w:eastAsia="仿宋_GB2312" w:cs="Symbol"/>
                <w:color w:val="000000"/>
                <w:kern w:val="0"/>
                <w:sz w:val="24"/>
                <w:lang w:bidi="ar"/>
              </w:rPr>
              <w:t>完成通水，对于小时总用气量小于立方米且不涉及外线的小微项目，原则上不超过个工作日完成通气。</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24"/>
                <w:lang w:bidi="ar"/>
              </w:rPr>
            </w:pPr>
            <w:r>
              <w:rPr>
                <w:rFonts w:hint="eastAsia" w:ascii="仿宋_GB2312" w:hAnsi="宋体" w:eastAsia="仿宋_GB2312" w:cs="仿宋_GB2312"/>
                <w:color w:val="000000"/>
                <w:kern w:val="0"/>
                <w:sz w:val="24"/>
                <w:lang w:bidi="ar"/>
              </w:rPr>
              <w:t>市水务局</w:t>
            </w:r>
          </w:p>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市城市管理委</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市公用事业局、市公安局，各供水企业、各燃气企业，各区人民政府</w:t>
            </w:r>
          </w:p>
        </w:tc>
      </w:tr>
      <w:tr>
        <w:tblPrEx>
          <w:tblCellMar>
            <w:top w:w="0" w:type="dxa"/>
            <w:left w:w="0" w:type="dxa"/>
            <w:bottom w:w="0" w:type="dxa"/>
            <w:right w:w="0" w:type="dxa"/>
          </w:tblCellMar>
        </w:tblPrEx>
        <w:trPr>
          <w:trHeight w:val="1373"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根据项目施工量和用水量</w:t>
            </w:r>
            <w:r>
              <w:rPr>
                <w:rFonts w:ascii="Symbol" w:hAnsi="Symbol" w:eastAsia="仿宋_GB2312" w:cs="Symbol"/>
                <w:color w:val="000000"/>
                <w:kern w:val="0"/>
                <w:sz w:val="24"/>
                <w:lang w:bidi="ar"/>
              </w:rPr>
              <w:t>对用水报装项目分类施策，针对小微项目</w:t>
            </w:r>
            <w:r>
              <w:rPr>
                <w:rFonts w:hint="eastAsia" w:ascii="Symbol" w:hAnsi="Symbol" w:eastAsia="仿宋_GB2312" w:cs="Symbol"/>
                <w:color w:val="000000"/>
                <w:kern w:val="0"/>
                <w:sz w:val="24"/>
                <w:lang w:bidi="ar"/>
              </w:rPr>
              <w:t>涉及的</w:t>
            </w:r>
            <w:r>
              <w:rPr>
                <w:rFonts w:ascii="Symbol" w:hAnsi="Symbol" w:eastAsia="仿宋_GB2312" w:cs="Symbol"/>
                <w:color w:val="000000"/>
                <w:kern w:val="0"/>
                <w:sz w:val="24"/>
                <w:lang w:bidi="ar"/>
              </w:rPr>
              <w:t>立项、规划、临时占用绿化用地、占用挖掘城市</w:t>
            </w:r>
            <w:r>
              <w:rPr>
                <w:rFonts w:hint="eastAsia" w:ascii="仿宋_GB2312" w:hAnsi="宋体" w:eastAsia="仿宋_GB2312" w:cs="仿宋_GB2312"/>
                <w:color w:val="000000"/>
                <w:kern w:val="0"/>
                <w:sz w:val="24"/>
                <w:lang w:bidi="ar"/>
              </w:rPr>
              <w:t>道路等审批事项精简优化。建设单位与养护管理部门签订管理协议并作出相关承诺后（涉及交通安全的，还需征得公安交管部门同意）即可施工。</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市水务局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市规划资源局、市公安局，各供水企业，各区人民政府</w:t>
            </w:r>
          </w:p>
        </w:tc>
      </w:tr>
      <w:tr>
        <w:tblPrEx>
          <w:tblCellMar>
            <w:top w:w="0" w:type="dxa"/>
            <w:left w:w="0" w:type="dxa"/>
            <w:bottom w:w="0" w:type="dxa"/>
            <w:right w:w="0" w:type="dxa"/>
          </w:tblCellMar>
        </w:tblPrEx>
        <w:trPr>
          <w:trHeight w:val="853"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推动“政务一网通”平台增加供水供气报装主题业务，开发移动端系统，用户可通过APP或微信公众号进行报装申请。</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24"/>
                <w:lang w:bidi="ar"/>
              </w:rPr>
            </w:pPr>
            <w:r>
              <w:rPr>
                <w:rFonts w:hint="eastAsia" w:ascii="仿宋_GB2312" w:hAnsi="宋体" w:eastAsia="仿宋_GB2312" w:cs="仿宋_GB2312"/>
                <w:color w:val="000000"/>
                <w:kern w:val="0"/>
                <w:sz w:val="24"/>
                <w:lang w:bidi="ar"/>
              </w:rPr>
              <w:t>市水务局</w:t>
            </w:r>
          </w:p>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市城市管理委</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市政务服务办、市委网信办、市公用事业局、各供水企业、各燃气企业</w:t>
            </w:r>
          </w:p>
        </w:tc>
      </w:tr>
      <w:tr>
        <w:tblPrEx>
          <w:tblCellMar>
            <w:top w:w="0" w:type="dxa"/>
            <w:left w:w="0" w:type="dxa"/>
            <w:bottom w:w="0" w:type="dxa"/>
            <w:right w:w="0" w:type="dxa"/>
          </w:tblCellMar>
        </w:tblPrEx>
        <w:trPr>
          <w:trHeight w:val="780"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通过网上营业厅、微信公众号、实体营业厅等渠道，全面公示用水用气报装申请要件、办理流程、办理时限、收费标准、办理进度。</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24"/>
                <w:lang w:bidi="ar"/>
              </w:rPr>
            </w:pPr>
            <w:r>
              <w:rPr>
                <w:rFonts w:hint="eastAsia" w:ascii="仿宋_GB2312" w:hAnsi="宋体" w:eastAsia="仿宋_GB2312" w:cs="仿宋_GB2312"/>
                <w:color w:val="000000"/>
                <w:kern w:val="0"/>
                <w:sz w:val="24"/>
                <w:lang w:bidi="ar"/>
              </w:rPr>
              <w:t>市水务局</w:t>
            </w:r>
          </w:p>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市城市管理委</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市公用事业局，各供水企业、各燃气企业</w:t>
            </w:r>
          </w:p>
        </w:tc>
      </w:tr>
      <w:tr>
        <w:tblPrEx>
          <w:tblCellMar>
            <w:top w:w="0" w:type="dxa"/>
            <w:left w:w="0" w:type="dxa"/>
            <w:bottom w:w="0" w:type="dxa"/>
            <w:right w:w="0" w:type="dxa"/>
          </w:tblCellMar>
        </w:tblPrEx>
        <w:trPr>
          <w:trHeight w:val="900"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Symbol" w:hAnsi="Symbol" w:eastAsia="仿宋_GB2312" w:cs="Symbol"/>
                <w:color w:val="000000"/>
                <w:sz w:val="24"/>
              </w:rPr>
            </w:pPr>
            <w:r>
              <w:rPr>
                <w:rFonts w:ascii="Symbol" w:hAnsi="Symbol" w:eastAsia="仿宋_GB2312" w:cs="Symbol"/>
                <w:color w:val="000000"/>
                <w:kern w:val="0"/>
                <w:sz w:val="24"/>
                <w:lang w:bidi="ar"/>
              </w:rPr>
              <w:t>提升跨境贸易便利度</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集中开展促进跨境贸易便利化专项行动，天津海港口岸先行先试便利化改革措施。支持天津港智慧港口建设。</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市商务局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市发展改革委、天津海关、天津港集团、市交通运输委、市市场监管委、市委网信办</w:t>
            </w:r>
          </w:p>
        </w:tc>
      </w:tr>
      <w:tr>
        <w:tblPrEx>
          <w:tblCellMar>
            <w:top w:w="0" w:type="dxa"/>
            <w:left w:w="0" w:type="dxa"/>
            <w:bottom w:w="0" w:type="dxa"/>
            <w:right w:w="0" w:type="dxa"/>
          </w:tblCellMar>
        </w:tblPrEx>
        <w:trPr>
          <w:trHeight w:val="90"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进一步推进“两步申报”</w:t>
            </w:r>
            <w:r>
              <w:rPr>
                <w:rFonts w:hint="eastAsia" w:ascii="仿宋_GB2312" w:hAnsi="宋体" w:eastAsia="仿宋_GB2312" w:cs="仿宋_GB2312"/>
                <w:color w:val="000000"/>
                <w:kern w:val="0"/>
                <w:sz w:val="24"/>
                <w:lang w:eastAsia="zh-CN" w:bidi="ar"/>
              </w:rPr>
              <w:t>、</w:t>
            </w:r>
            <w:r>
              <w:rPr>
                <w:rFonts w:hint="eastAsia" w:ascii="仿宋_GB2312" w:hAnsi="宋体" w:eastAsia="仿宋_GB2312" w:cs="仿宋_GB2312"/>
                <w:color w:val="000000"/>
                <w:kern w:val="0"/>
                <w:sz w:val="24"/>
                <w:lang w:bidi="ar"/>
              </w:rPr>
              <w:t>“提前申报”等通关业务模式，促进通关效率提升。</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市商务局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天津海关、天津港集团</w:t>
            </w:r>
          </w:p>
        </w:tc>
      </w:tr>
      <w:tr>
        <w:tblPrEx>
          <w:tblCellMar>
            <w:top w:w="0" w:type="dxa"/>
            <w:left w:w="0" w:type="dxa"/>
            <w:bottom w:w="0" w:type="dxa"/>
            <w:right w:w="0" w:type="dxa"/>
          </w:tblCellMar>
        </w:tblPrEx>
        <w:trPr>
          <w:trHeight w:val="1320"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Symbol" w:hAnsi="Symbol" w:eastAsia="仿宋_GB2312" w:cs="Symbol"/>
                <w:color w:val="000000"/>
                <w:sz w:val="24"/>
              </w:rPr>
            </w:pPr>
            <w:r>
              <w:rPr>
                <w:rFonts w:ascii="Symbol" w:hAnsi="Symbol" w:eastAsia="仿宋_GB2312" w:cs="Symbol"/>
                <w:color w:val="000000"/>
                <w:kern w:val="0"/>
                <w:sz w:val="24"/>
                <w:lang w:bidi="ar"/>
              </w:rPr>
              <w:t>提升企业融资便利度</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加强市中小企业融资综合信用服务平台（信易贷平台）信息归集。加大平台宣传力度，鼓励金融机构创新开发产品，引导企业在平台发布融资需求，开展综合信用评价和行业信用评价，完善平台智能推送线上信贷服务功能。</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市发展改革委</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市级有关单位，各区人民政府</w:t>
            </w:r>
          </w:p>
        </w:tc>
      </w:tr>
      <w:tr>
        <w:tblPrEx>
          <w:tblCellMar>
            <w:top w:w="0" w:type="dxa"/>
            <w:left w:w="0" w:type="dxa"/>
            <w:bottom w:w="0" w:type="dxa"/>
            <w:right w:w="0" w:type="dxa"/>
          </w:tblCellMar>
        </w:tblPrEx>
        <w:trPr>
          <w:trHeight w:val="792"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推广市“线上银税互动服务平台”应用，推动银行机构与平台开展合作，增加平台覆盖企业数量。</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_GB2312" w:hAnsi="宋体" w:eastAsia="仿宋_GB2312" w:cs="仿宋_GB2312"/>
                <w:color w:val="000000"/>
                <w:kern w:val="0"/>
                <w:sz w:val="24"/>
                <w:lang w:bidi="ar"/>
              </w:rPr>
            </w:pPr>
            <w:r>
              <w:rPr>
                <w:rFonts w:hint="eastAsia" w:ascii="仿宋_GB2312" w:hAnsi="宋体" w:eastAsia="仿宋_GB2312" w:cs="仿宋_GB2312"/>
                <w:color w:val="000000"/>
                <w:kern w:val="0"/>
                <w:sz w:val="24"/>
                <w:lang w:bidi="ar"/>
              </w:rPr>
              <w:t>市金融局、市税务局、</w:t>
            </w:r>
          </w:p>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天津银保监局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color w:val="000000"/>
                <w:sz w:val="24"/>
                <w:lang w:eastAsia="zh-CN"/>
              </w:rPr>
            </w:pPr>
            <w:r>
              <w:rPr>
                <w:rFonts w:hint="eastAsia" w:ascii="仿宋_GB2312" w:hAnsi="宋体" w:eastAsia="仿宋_GB2312" w:cs="仿宋_GB2312"/>
                <w:color w:val="000000"/>
                <w:sz w:val="24"/>
                <w:lang w:eastAsia="zh-CN"/>
              </w:rPr>
              <w:t>——</w:t>
            </w:r>
          </w:p>
        </w:tc>
      </w:tr>
      <w:tr>
        <w:tblPrEx>
          <w:tblCellMar>
            <w:top w:w="0" w:type="dxa"/>
            <w:left w:w="0" w:type="dxa"/>
            <w:bottom w:w="0" w:type="dxa"/>
            <w:right w:w="0" w:type="dxa"/>
          </w:tblCellMar>
        </w:tblPrEx>
        <w:trPr>
          <w:trHeight w:val="489"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序号</w:t>
            </w:r>
          </w:p>
        </w:tc>
        <w:tc>
          <w:tcPr>
            <w:tcW w:w="11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重点任务</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改革措施</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牵头单位</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责任单位</w:t>
            </w:r>
          </w:p>
        </w:tc>
      </w:tr>
      <w:tr>
        <w:tblPrEx>
          <w:tblCellMar>
            <w:top w:w="0" w:type="dxa"/>
            <w:left w:w="0" w:type="dxa"/>
            <w:bottom w:w="0" w:type="dxa"/>
            <w:right w:w="0" w:type="dxa"/>
          </w:tblCellMar>
        </w:tblPrEx>
        <w:trPr>
          <w:trHeight w:val="1052"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r>
              <w:rPr>
                <w:rFonts w:ascii="Symbol" w:hAnsi="Symbol" w:eastAsia="仿宋_GB2312" w:cs="Symbol"/>
                <w:color w:val="000000"/>
                <w:kern w:val="0"/>
                <w:sz w:val="24"/>
                <w:lang w:bidi="ar"/>
              </w:rPr>
              <w:t>提升企业融资便利度</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加大中国银联云闪付APP“津e融”平台的推广力度，推动更多企业利用“津e融”在线政银企融资服务渠道，提高受益企业数量和融资规模。</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人民银行天津分行</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color w:val="000000"/>
                <w:sz w:val="24"/>
                <w:lang w:eastAsia="zh-CN"/>
              </w:rPr>
            </w:pPr>
            <w:r>
              <w:rPr>
                <w:rFonts w:hint="eastAsia" w:ascii="仿宋_GB2312" w:hAnsi="宋体" w:eastAsia="仿宋_GB2312" w:cs="仿宋_GB2312"/>
                <w:color w:val="000000"/>
                <w:sz w:val="24"/>
                <w:lang w:eastAsia="zh-CN"/>
              </w:rPr>
              <w:t>——</w:t>
            </w:r>
          </w:p>
        </w:tc>
      </w:tr>
      <w:tr>
        <w:tblPrEx>
          <w:tblCellMar>
            <w:top w:w="0" w:type="dxa"/>
            <w:left w:w="0" w:type="dxa"/>
            <w:bottom w:w="0" w:type="dxa"/>
            <w:right w:w="0" w:type="dxa"/>
          </w:tblCellMar>
        </w:tblPrEx>
        <w:trPr>
          <w:trHeight w:val="1056"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推进中征应收账款融资服务平台与天津市政府采购系统信息共享。加大对平台的宣传推介，支持有融资需求的中小微企业在平台注册并依托政府采购合同等信息开展融资。</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人民银行天津分行</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市财政局</w:t>
            </w:r>
          </w:p>
        </w:tc>
      </w:tr>
      <w:tr>
        <w:tblPrEx>
          <w:tblCellMar>
            <w:top w:w="0" w:type="dxa"/>
            <w:left w:w="0" w:type="dxa"/>
            <w:bottom w:w="0" w:type="dxa"/>
            <w:right w:w="0" w:type="dxa"/>
          </w:tblCellMar>
        </w:tblPrEx>
        <w:trPr>
          <w:trHeight w:val="1206"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引导金融科技头部企业投资企业征信、信用评级领域，推动多元化市场主体共同发展。探索扩大外部信用评级在商业银行风险资产计量中的应用,促进内外评级相结合,激励评级机构提供高质量的评级服务。</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人民银行天津分行</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color w:val="000000"/>
                <w:sz w:val="24"/>
                <w:lang w:eastAsia="zh-CN"/>
              </w:rPr>
            </w:pPr>
            <w:r>
              <w:rPr>
                <w:rFonts w:hint="eastAsia" w:ascii="仿宋_GB2312" w:hAnsi="宋体" w:eastAsia="仿宋_GB2312" w:cs="仿宋_GB2312"/>
                <w:color w:val="000000"/>
                <w:sz w:val="24"/>
                <w:lang w:eastAsia="zh-CN"/>
              </w:rPr>
              <w:t>——</w:t>
            </w:r>
          </w:p>
        </w:tc>
      </w:tr>
      <w:tr>
        <w:tblPrEx>
          <w:tblCellMar>
            <w:top w:w="0" w:type="dxa"/>
            <w:left w:w="0" w:type="dxa"/>
            <w:bottom w:w="0" w:type="dxa"/>
            <w:right w:w="0" w:type="dxa"/>
          </w:tblCellMar>
        </w:tblPrEx>
        <w:trPr>
          <w:trHeight w:val="922"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贯彻落实国家宏观政策和银保监会统一部署，鼓励银行机构积极利用企业信用数据实行差异化定价策略，合理确定小微企业贷款利率。</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天津银保监局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人民银行天津分行</w:t>
            </w:r>
          </w:p>
        </w:tc>
      </w:tr>
      <w:tr>
        <w:tblPrEx>
          <w:tblCellMar>
            <w:top w:w="0" w:type="dxa"/>
            <w:left w:w="0" w:type="dxa"/>
            <w:bottom w:w="0" w:type="dxa"/>
            <w:right w:w="0" w:type="dxa"/>
          </w:tblCellMar>
        </w:tblPrEx>
        <w:trPr>
          <w:trHeight w:val="780"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推动市融资担保发展基金再担保业务规</w:t>
            </w:r>
            <w:r>
              <w:rPr>
                <w:rFonts w:ascii="Symbol" w:hAnsi="Symbol" w:eastAsia="仿宋_GB2312" w:cs="Symbol"/>
                <w:color w:val="000000"/>
                <w:kern w:val="0"/>
                <w:sz w:val="24"/>
                <w:lang w:bidi="ar"/>
              </w:rPr>
              <w:t>模达到亿，服务中小微企业户数达到家。</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市财政局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市金融局、市工业和信息化局，各区人民政府</w:t>
            </w:r>
          </w:p>
        </w:tc>
      </w:tr>
      <w:tr>
        <w:tblPrEx>
          <w:tblCellMar>
            <w:top w:w="0" w:type="dxa"/>
            <w:left w:w="0" w:type="dxa"/>
            <w:bottom w:w="0" w:type="dxa"/>
            <w:right w:w="0" w:type="dxa"/>
          </w:tblCellMar>
        </w:tblPrEx>
        <w:trPr>
          <w:trHeight w:val="770"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支持企业抢抓科</w:t>
            </w:r>
            <w:r>
              <w:rPr>
                <w:rFonts w:ascii="Symbol" w:hAnsi="Symbol" w:eastAsia="仿宋_GB2312" w:cs="Symbol"/>
                <w:color w:val="000000"/>
                <w:kern w:val="0"/>
                <w:sz w:val="24"/>
                <w:lang w:bidi="ar"/>
              </w:rPr>
              <w:t>创板、创业板注册制改革机遇，实现上市公司数量达到家。</w:t>
            </w:r>
          </w:p>
        </w:tc>
        <w:tc>
          <w:tcPr>
            <w:tcW w:w="26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市金融局</w:t>
            </w:r>
          </w:p>
        </w:tc>
        <w:tc>
          <w:tcPr>
            <w:tcW w:w="352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天津证监局、市科技局，各区人民政府</w:t>
            </w:r>
          </w:p>
        </w:tc>
      </w:tr>
      <w:tr>
        <w:tblPrEx>
          <w:tblCellMar>
            <w:top w:w="0" w:type="dxa"/>
            <w:left w:w="0" w:type="dxa"/>
            <w:bottom w:w="0" w:type="dxa"/>
            <w:right w:w="0" w:type="dxa"/>
          </w:tblCellMar>
        </w:tblPrEx>
        <w:trPr>
          <w:trHeight w:val="774"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海河产业基金向智能科技、生物医药和新能源、新材料行业的母基金新增出资</w:t>
            </w:r>
            <w:r>
              <w:rPr>
                <w:rFonts w:ascii="Symbol" w:hAnsi="Symbol" w:eastAsia="仿宋_GB2312" w:cs="Symbol"/>
                <w:color w:val="000000"/>
                <w:kern w:val="0"/>
                <w:sz w:val="24"/>
                <w:lang w:bidi="ar"/>
              </w:rPr>
              <w:t></w:t>
            </w:r>
            <w:r>
              <w:rPr>
                <w:rFonts w:hint="eastAsia" w:ascii="仿宋_GB2312" w:hAnsi="宋体" w:eastAsia="仿宋_GB2312" w:cs="仿宋_GB2312"/>
                <w:color w:val="000000"/>
                <w:kern w:val="0"/>
                <w:sz w:val="24"/>
                <w:lang w:bidi="ar"/>
              </w:rPr>
              <w:t>亿。</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市财政局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海河产业基金管委会办公室各成员单位，各区人民政府</w:t>
            </w:r>
          </w:p>
        </w:tc>
      </w:tr>
      <w:tr>
        <w:tblPrEx>
          <w:tblCellMar>
            <w:top w:w="0" w:type="dxa"/>
            <w:left w:w="0" w:type="dxa"/>
            <w:bottom w:w="0" w:type="dxa"/>
            <w:right w:w="0" w:type="dxa"/>
          </w:tblCellMar>
        </w:tblPrEx>
        <w:trPr>
          <w:trHeight w:val="1531"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发挥滨海产业基金作用，积极支持高新技术企业借助资本市场做强做大，推动滨海新区高端装备制造、智能科技、生物医药和新能源、新材料行业发展。围绕信创产业、生物医药、新能源、新材料等产业方向设立母基金。</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滨海新区政府</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滨海产业发展基金管委会各成员单位，各开发区管委会</w:t>
            </w:r>
          </w:p>
        </w:tc>
      </w:tr>
      <w:tr>
        <w:tblPrEx>
          <w:tblCellMar>
            <w:top w:w="0" w:type="dxa"/>
            <w:left w:w="0" w:type="dxa"/>
            <w:bottom w:w="0" w:type="dxa"/>
            <w:right w:w="0" w:type="dxa"/>
          </w:tblCellMar>
        </w:tblPrEx>
        <w:trPr>
          <w:trHeight w:val="489"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序号</w:t>
            </w:r>
          </w:p>
        </w:tc>
        <w:tc>
          <w:tcPr>
            <w:tcW w:w="11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重点任务</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改革措施</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牵头单位</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责任单位</w:t>
            </w:r>
          </w:p>
        </w:tc>
      </w:tr>
      <w:tr>
        <w:tblPrEx>
          <w:tblCellMar>
            <w:top w:w="0" w:type="dxa"/>
            <w:left w:w="0" w:type="dxa"/>
            <w:bottom w:w="0" w:type="dxa"/>
            <w:right w:w="0" w:type="dxa"/>
          </w:tblCellMar>
        </w:tblPrEx>
        <w:trPr>
          <w:trHeight w:val="1227"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ascii="Symbol" w:hAnsi="Symbol" w:eastAsia="仿宋_GB2312" w:cs="Symbol"/>
                <w:color w:val="000000"/>
                <w:kern w:val="0"/>
                <w:sz w:val="24"/>
                <w:lang w:bidi="ar"/>
              </w:rPr>
              <w:t>深</w:t>
            </w:r>
            <w:r>
              <w:rPr>
                <w:rFonts w:hint="eastAsia" w:ascii="仿宋_GB2312" w:hAnsi="宋体" w:eastAsia="仿宋_GB2312" w:cs="仿宋_GB2312"/>
                <w:color w:val="000000"/>
                <w:kern w:val="0"/>
                <w:sz w:val="24"/>
                <w:lang w:bidi="ar"/>
              </w:rPr>
              <w:t>化政府采购和招标投标改革</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建立市区两级统一的招标投标全流程电子化交易系统，扩展交易平台功能，健全完善“一窗接件、综合受理、统一流程、全程监督”运行服务机制。</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市政务服务办</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市财政局、市住房城乡建设委、市交通运输委、市水务局、市规划资源局等有关单位</w:t>
            </w:r>
          </w:p>
        </w:tc>
      </w:tr>
      <w:tr>
        <w:tblPrEx>
          <w:tblCellMar>
            <w:top w:w="0" w:type="dxa"/>
            <w:left w:w="0" w:type="dxa"/>
            <w:bottom w:w="0" w:type="dxa"/>
            <w:right w:w="0" w:type="dxa"/>
          </w:tblCellMar>
        </w:tblPrEx>
        <w:trPr>
          <w:trHeight w:val="891"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强化招标采购监管，建立预警监测及类罪研判机制，精准打击围标串标等不法行为。</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市政务服务办</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市财政局、市住房城乡建设委、市交通运输委、市水务局等有关单位</w:t>
            </w:r>
          </w:p>
        </w:tc>
      </w:tr>
      <w:tr>
        <w:tblPrEx>
          <w:tblCellMar>
            <w:top w:w="0" w:type="dxa"/>
            <w:left w:w="0" w:type="dxa"/>
            <w:bottom w:w="0" w:type="dxa"/>
            <w:right w:w="0" w:type="dxa"/>
          </w:tblCellMar>
        </w:tblPrEx>
        <w:trPr>
          <w:trHeight w:val="1243"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研究制定监管平台数据标准，对招投标活动进行全流程电子化事中事后监管。将交易平台采集的相关信息和监管数据互联互通，及时纠正违法违规行为。</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市政务服务办</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市财政局、市住房城乡建设委、市交通运输委、市水务局、市规划自然资源局等有关单位</w:t>
            </w:r>
          </w:p>
        </w:tc>
      </w:tr>
      <w:tr>
        <w:tblPrEx>
          <w:tblCellMar>
            <w:top w:w="0" w:type="dxa"/>
            <w:left w:w="0" w:type="dxa"/>
            <w:bottom w:w="0" w:type="dxa"/>
            <w:right w:w="0" w:type="dxa"/>
          </w:tblCellMar>
        </w:tblPrEx>
        <w:trPr>
          <w:trHeight w:val="677"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制定出台政府采购领域负面清单，在区级范围内推行采购意向公开。</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市财政局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各区人民政府</w:t>
            </w:r>
          </w:p>
        </w:tc>
      </w:tr>
      <w:tr>
        <w:tblPrEx>
          <w:tblCellMar>
            <w:top w:w="0" w:type="dxa"/>
            <w:left w:w="0" w:type="dxa"/>
            <w:bottom w:w="0" w:type="dxa"/>
            <w:right w:w="0" w:type="dxa"/>
          </w:tblCellMar>
        </w:tblPrEx>
        <w:trPr>
          <w:trHeight w:val="884"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改造升级市公共资源交易中心电子采购平台，逐步向区级部署应用。</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24"/>
                <w:lang w:bidi="ar"/>
              </w:rPr>
            </w:pPr>
            <w:r>
              <w:rPr>
                <w:rFonts w:hint="eastAsia" w:ascii="仿宋_GB2312" w:hAnsi="宋体" w:eastAsia="仿宋_GB2312" w:cs="仿宋_GB2312"/>
                <w:color w:val="000000"/>
                <w:kern w:val="0"/>
                <w:sz w:val="24"/>
                <w:lang w:bidi="ar"/>
              </w:rPr>
              <w:t>市政务服务办</w:t>
            </w:r>
          </w:p>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市财政局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各区人民政府</w:t>
            </w:r>
          </w:p>
        </w:tc>
      </w:tr>
      <w:tr>
        <w:tblPrEx>
          <w:tblCellMar>
            <w:top w:w="0" w:type="dxa"/>
            <w:left w:w="0" w:type="dxa"/>
            <w:bottom w:w="0" w:type="dxa"/>
            <w:right w:w="0" w:type="dxa"/>
          </w:tblCellMar>
        </w:tblPrEx>
        <w:trPr>
          <w:trHeight w:val="1265"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依法简化公路养护工程招投标，建立公路养护工程招投标信用评价制度。</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市交通运输委</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市政务服务办</w:t>
            </w:r>
          </w:p>
        </w:tc>
      </w:tr>
      <w:tr>
        <w:tblPrEx>
          <w:tblCellMar>
            <w:top w:w="0" w:type="dxa"/>
            <w:left w:w="0" w:type="dxa"/>
            <w:bottom w:w="0" w:type="dxa"/>
            <w:right w:w="0" w:type="dxa"/>
          </w:tblCellMar>
        </w:tblPrEx>
        <w:trPr>
          <w:trHeight w:val="754"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完善招标投标工程担保制度，对适合由保函、保险替代的各类保证金，将保函、保险的替代率提</w:t>
            </w:r>
            <w:r>
              <w:rPr>
                <w:rFonts w:ascii="Symbol" w:hAnsi="Symbol" w:eastAsia="仿宋_GB2312" w:cs="Symbol"/>
                <w:color w:val="000000"/>
                <w:kern w:val="0"/>
                <w:sz w:val="24"/>
                <w:lang w:bidi="ar"/>
              </w:rPr>
              <w:t>高。</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市住房城乡建设委</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市交通运输委、市水务局、市发展改革委、市政务服务办等有关单位</w:t>
            </w:r>
          </w:p>
        </w:tc>
      </w:tr>
      <w:tr>
        <w:tblPrEx>
          <w:tblCellMar>
            <w:top w:w="0" w:type="dxa"/>
            <w:left w:w="0" w:type="dxa"/>
            <w:bottom w:w="0" w:type="dxa"/>
            <w:right w:w="0" w:type="dxa"/>
          </w:tblCellMar>
        </w:tblPrEx>
        <w:trPr>
          <w:trHeight w:val="899"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加强与保险公司合作，出台工程质量潜在缺陷保险（IDI）、投标保证保险、履约保证保险、农民工工资保证保险的试点办法。</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市住房城乡建设委</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市交通运输委、市水务局、市发展改革委、市政务服务办等有关单位</w:t>
            </w:r>
          </w:p>
        </w:tc>
      </w:tr>
      <w:tr>
        <w:tblPrEx>
          <w:tblCellMar>
            <w:top w:w="0" w:type="dxa"/>
            <w:left w:w="0" w:type="dxa"/>
            <w:bottom w:w="0" w:type="dxa"/>
            <w:right w:w="0" w:type="dxa"/>
          </w:tblCellMar>
        </w:tblPrEx>
        <w:trPr>
          <w:trHeight w:val="489"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序号</w:t>
            </w:r>
          </w:p>
        </w:tc>
        <w:tc>
          <w:tcPr>
            <w:tcW w:w="11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重点任务</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改革措施</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牵头单位</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责任单位</w:t>
            </w:r>
          </w:p>
        </w:tc>
      </w:tr>
      <w:tr>
        <w:tblPrEx>
          <w:tblCellMar>
            <w:top w:w="0" w:type="dxa"/>
            <w:left w:w="0" w:type="dxa"/>
            <w:bottom w:w="0" w:type="dxa"/>
            <w:right w:w="0" w:type="dxa"/>
          </w:tblCellMar>
        </w:tblPrEx>
        <w:trPr>
          <w:trHeight w:val="904"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Symbol" w:hAnsi="Symbol" w:eastAsia="仿宋_GB2312" w:cs="Symbol"/>
                <w:color w:val="000000"/>
                <w:sz w:val="24"/>
              </w:rPr>
            </w:pPr>
            <w:r>
              <w:rPr>
                <w:rFonts w:ascii="Symbol" w:hAnsi="Symbol" w:eastAsia="仿宋_GB2312" w:cs="Symbol"/>
                <w:color w:val="000000"/>
                <w:kern w:val="0"/>
                <w:sz w:val="24"/>
                <w:lang w:bidi="ar"/>
              </w:rPr>
              <w:t>提升创新创业活跃度</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实施</w:t>
            </w:r>
            <w:r>
              <w:rPr>
                <w:rFonts w:ascii="Symbol" w:hAnsi="Symbol" w:eastAsia="仿宋_GB2312" w:cs="Symbol"/>
                <w:color w:val="000000"/>
                <w:kern w:val="0"/>
                <w:sz w:val="24"/>
                <w:lang w:bidi="ar"/>
              </w:rPr>
              <w:t>创新型载体培育行动计划，新增国家级孵化器家，在孵企业达到家；新增市级孵化器家，在孵企业达到家；新增市级备案众创空间家，常驻团队和企业达到个</w:t>
            </w:r>
            <w:r>
              <w:rPr>
                <w:rFonts w:hint="eastAsia" w:ascii="仿宋_GB2312" w:hAnsi="宋体" w:eastAsia="仿宋_GB2312" w:cs="仿宋_GB2312"/>
                <w:color w:val="000000"/>
                <w:kern w:val="0"/>
                <w:sz w:val="24"/>
                <w:lang w:bidi="ar"/>
              </w:rPr>
              <w:t>。</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市科技局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color w:val="000000"/>
                <w:sz w:val="24"/>
                <w:lang w:eastAsia="zh-CN"/>
              </w:rPr>
            </w:pPr>
            <w:r>
              <w:rPr>
                <w:rFonts w:hint="eastAsia" w:ascii="仿宋_GB2312" w:hAnsi="宋体" w:eastAsia="仿宋_GB2312" w:cs="仿宋_GB2312"/>
                <w:color w:val="000000"/>
                <w:sz w:val="24"/>
                <w:lang w:eastAsia="zh-CN"/>
              </w:rPr>
              <w:t>——</w:t>
            </w:r>
          </w:p>
        </w:tc>
      </w:tr>
      <w:tr>
        <w:tblPrEx>
          <w:tblCellMar>
            <w:top w:w="0" w:type="dxa"/>
            <w:left w:w="0" w:type="dxa"/>
            <w:bottom w:w="0" w:type="dxa"/>
            <w:right w:w="0" w:type="dxa"/>
          </w:tblCellMar>
        </w:tblPrEx>
        <w:trPr>
          <w:trHeight w:val="308"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Symbol" w:hAnsi="Symbol" w:eastAsia="仿宋_GB2312" w:cs="Symbol"/>
                <w:color w:val="000000"/>
                <w:sz w:val="24"/>
              </w:rPr>
            </w:pPr>
            <w:r>
              <w:rPr>
                <w:rFonts w:ascii="Symbol" w:hAnsi="Symbol" w:eastAsia="仿宋_GB2312" w:cs="Symbol"/>
                <w:color w:val="000000"/>
                <w:kern w:val="0"/>
                <w:sz w:val="24"/>
                <w:lang w:bidi="ar"/>
              </w:rPr>
              <w:t>加大对国家级专精特新</w:t>
            </w:r>
            <w:r>
              <w:rPr>
                <w:rFonts w:hint="eastAsia" w:ascii="Symbol" w:hAnsi="Symbol" w:eastAsia="仿宋_GB2312" w:cs="Symbol"/>
                <w:color w:val="000000"/>
                <w:kern w:val="0"/>
                <w:sz w:val="24"/>
                <w:lang w:eastAsia="zh-CN" w:bidi="ar"/>
              </w:rPr>
              <w:t>“</w:t>
            </w:r>
            <w:r>
              <w:rPr>
                <w:rFonts w:ascii="Symbol" w:hAnsi="Symbol" w:eastAsia="仿宋_GB2312" w:cs="Symbol"/>
                <w:color w:val="000000"/>
                <w:kern w:val="0"/>
                <w:sz w:val="24"/>
                <w:lang w:bidi="ar"/>
              </w:rPr>
              <w:t>小巨人</w:t>
            </w:r>
            <w:r>
              <w:rPr>
                <w:rFonts w:hint="eastAsia" w:ascii="Symbol" w:hAnsi="Symbol" w:eastAsia="仿宋_GB2312" w:cs="Symbol"/>
                <w:color w:val="000000"/>
                <w:kern w:val="0"/>
                <w:sz w:val="24"/>
                <w:lang w:eastAsia="zh-CN" w:bidi="ar"/>
              </w:rPr>
              <w:t>”</w:t>
            </w:r>
            <w:r>
              <w:rPr>
                <w:rFonts w:ascii="Symbol" w:hAnsi="Symbol" w:eastAsia="仿宋_GB2312" w:cs="Symbol"/>
                <w:color w:val="000000"/>
                <w:kern w:val="0"/>
                <w:sz w:val="24"/>
                <w:lang w:bidi="ar"/>
              </w:rPr>
              <w:t>企业培育力度，累计达到家。</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市工业和信息化局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color w:val="000000"/>
                <w:sz w:val="24"/>
                <w:lang w:eastAsia="zh-CN"/>
              </w:rPr>
            </w:pPr>
            <w:r>
              <w:rPr>
                <w:rFonts w:hint="eastAsia" w:ascii="仿宋_GB2312" w:hAnsi="宋体" w:eastAsia="仿宋_GB2312" w:cs="仿宋_GB2312"/>
                <w:color w:val="000000"/>
                <w:sz w:val="24"/>
                <w:lang w:eastAsia="zh-CN"/>
              </w:rPr>
              <w:t>——</w:t>
            </w:r>
          </w:p>
        </w:tc>
      </w:tr>
      <w:tr>
        <w:tblPrEx>
          <w:tblCellMar>
            <w:top w:w="0" w:type="dxa"/>
            <w:left w:w="0" w:type="dxa"/>
            <w:bottom w:w="0" w:type="dxa"/>
            <w:right w:w="0" w:type="dxa"/>
          </w:tblCellMar>
        </w:tblPrEx>
        <w:trPr>
          <w:trHeight w:val="554"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Symbol" w:hAnsi="Symbol" w:eastAsia="仿宋_GB2312" w:cs="Symbol"/>
                <w:color w:val="000000"/>
                <w:sz w:val="24"/>
              </w:rPr>
            </w:pPr>
            <w:r>
              <w:rPr>
                <w:rFonts w:ascii="Symbol" w:hAnsi="Symbol" w:eastAsia="仿宋_GB2312" w:cs="Symbol"/>
                <w:color w:val="000000"/>
                <w:kern w:val="0"/>
                <w:sz w:val="24"/>
                <w:lang w:bidi="ar"/>
              </w:rPr>
              <w:t>新增家国家企业技术中心，</w:t>
            </w:r>
            <w:r>
              <w:rPr>
                <w:rFonts w:hint="eastAsia" w:ascii="Symbol" w:hAnsi="Symbol" w:eastAsia="仿宋_GB2312" w:cs="Symbol"/>
                <w:color w:val="000000"/>
                <w:kern w:val="0"/>
                <w:sz w:val="24"/>
                <w:lang w:bidi="ar"/>
              </w:rPr>
              <w:t>对市级企业技术中心升级为国家级的，给予最高</w:t>
            </w:r>
            <w:r>
              <w:rPr>
                <w:rFonts w:ascii="Symbol" w:hAnsi="Symbol" w:eastAsia="仿宋_GB2312" w:cs="Symbol"/>
                <w:color w:val="000000"/>
                <w:kern w:val="0"/>
                <w:sz w:val="24"/>
                <w:lang w:bidi="ar"/>
              </w:rPr>
              <w:t>万</w:t>
            </w:r>
            <w:r>
              <w:rPr>
                <w:rFonts w:hint="eastAsia" w:ascii="Symbol" w:hAnsi="Symbol" w:eastAsia="仿宋_GB2312" w:cs="Symbol"/>
                <w:color w:val="000000"/>
                <w:kern w:val="0"/>
                <w:sz w:val="24"/>
                <w:lang w:bidi="ar"/>
              </w:rPr>
              <w:t>元补助</w:t>
            </w:r>
            <w:r>
              <w:rPr>
                <w:rFonts w:ascii="Symbol" w:hAnsi="Symbol" w:eastAsia="仿宋_GB2312" w:cs="Symbol"/>
                <w:color w:val="000000"/>
                <w:kern w:val="0"/>
                <w:sz w:val="24"/>
                <w:lang w:bidi="ar"/>
              </w:rPr>
              <w:t>。</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市工业和信息化局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color w:val="000000"/>
                <w:sz w:val="24"/>
                <w:lang w:eastAsia="zh-CN"/>
              </w:rPr>
            </w:pPr>
            <w:r>
              <w:rPr>
                <w:rFonts w:hint="eastAsia" w:ascii="仿宋_GB2312" w:hAnsi="宋体" w:eastAsia="仿宋_GB2312" w:cs="仿宋_GB2312"/>
                <w:color w:val="000000"/>
                <w:sz w:val="24"/>
                <w:lang w:eastAsia="zh-CN"/>
              </w:rPr>
              <w:t>——</w:t>
            </w:r>
          </w:p>
        </w:tc>
      </w:tr>
      <w:tr>
        <w:tblPrEx>
          <w:tblCellMar>
            <w:top w:w="0" w:type="dxa"/>
            <w:left w:w="0" w:type="dxa"/>
            <w:bottom w:w="0" w:type="dxa"/>
            <w:right w:w="0" w:type="dxa"/>
          </w:tblCellMar>
        </w:tblPrEx>
        <w:trPr>
          <w:trHeight w:val="554"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Symbol" w:hAnsi="Symbol" w:eastAsia="仿宋_GB2312" w:cs="Symbol"/>
                <w:color w:val="000000"/>
                <w:sz w:val="24"/>
              </w:rPr>
            </w:pPr>
            <w:r>
              <w:rPr>
                <w:rFonts w:ascii="Symbol" w:hAnsi="Symbol" w:eastAsia="仿宋_GB2312" w:cs="Symbol"/>
                <w:color w:val="000000"/>
                <w:kern w:val="0"/>
                <w:sz w:val="24"/>
                <w:lang w:bidi="ar"/>
              </w:rPr>
              <w:t>国家高新技术企业突破家；国家科技型中小企业入库数力争超家。</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市科技局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color w:val="000000"/>
                <w:sz w:val="24"/>
                <w:lang w:eastAsia="zh-CN"/>
              </w:rPr>
            </w:pPr>
            <w:r>
              <w:rPr>
                <w:rFonts w:hint="eastAsia" w:ascii="仿宋_GB2312" w:hAnsi="宋体" w:eastAsia="仿宋_GB2312" w:cs="仿宋_GB2312"/>
                <w:color w:val="000000"/>
                <w:sz w:val="24"/>
                <w:lang w:eastAsia="zh-CN"/>
              </w:rPr>
              <w:t>——</w:t>
            </w:r>
          </w:p>
        </w:tc>
      </w:tr>
      <w:tr>
        <w:tblPrEx>
          <w:tblCellMar>
            <w:top w:w="0" w:type="dxa"/>
            <w:left w:w="0" w:type="dxa"/>
            <w:bottom w:w="0" w:type="dxa"/>
            <w:right w:w="0" w:type="dxa"/>
          </w:tblCellMar>
        </w:tblPrEx>
        <w:trPr>
          <w:trHeight w:val="529"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Symbol" w:hAnsi="Symbol" w:eastAsia="仿宋_GB2312" w:cs="Symbol"/>
                <w:color w:val="000000"/>
                <w:sz w:val="24"/>
              </w:rPr>
            </w:pPr>
            <w:r>
              <w:rPr>
                <w:rFonts w:ascii="Symbol" w:hAnsi="Symbol" w:eastAsia="仿宋_GB2312" w:cs="Symbol"/>
                <w:color w:val="000000"/>
                <w:kern w:val="0"/>
                <w:sz w:val="24"/>
                <w:lang w:bidi="ar"/>
              </w:rPr>
              <w:t>新增家市级工程研究中心，为争取国家工程研究中心落户我市做好平台储备。</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市发展改革委</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color w:val="000000"/>
                <w:sz w:val="24"/>
                <w:lang w:eastAsia="zh-CN"/>
              </w:rPr>
            </w:pPr>
            <w:r>
              <w:rPr>
                <w:rFonts w:hint="eastAsia" w:ascii="仿宋_GB2312" w:hAnsi="宋体" w:eastAsia="仿宋_GB2312" w:cs="仿宋_GB2312"/>
                <w:color w:val="000000"/>
                <w:sz w:val="24"/>
                <w:lang w:eastAsia="zh-CN"/>
              </w:rPr>
              <w:t>——</w:t>
            </w:r>
          </w:p>
        </w:tc>
      </w:tr>
      <w:tr>
        <w:tblPrEx>
          <w:tblCellMar>
            <w:top w:w="0" w:type="dxa"/>
            <w:left w:w="0" w:type="dxa"/>
            <w:bottom w:w="0" w:type="dxa"/>
            <w:right w:w="0" w:type="dxa"/>
          </w:tblCellMar>
        </w:tblPrEx>
        <w:trPr>
          <w:trHeight w:val="566"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Symbol" w:hAnsi="Symbol" w:eastAsia="仿宋_GB2312" w:cs="Symbol"/>
                <w:color w:val="000000"/>
                <w:sz w:val="24"/>
              </w:rPr>
            </w:pPr>
            <w:r>
              <w:rPr>
                <w:rFonts w:ascii="Symbol" w:hAnsi="Symbol" w:eastAsia="仿宋_GB2312" w:cs="Symbol"/>
                <w:color w:val="000000"/>
                <w:kern w:val="0"/>
                <w:sz w:val="24"/>
                <w:lang w:bidi="ar"/>
              </w:rPr>
              <w:t>整合科技资源，加强大型科研仪器开放共享。新增认定管理单位家，新增大型科研仪器台（套）。</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市科技局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color w:val="000000"/>
                <w:sz w:val="24"/>
                <w:lang w:eastAsia="zh-CN"/>
              </w:rPr>
            </w:pPr>
            <w:r>
              <w:rPr>
                <w:rFonts w:hint="eastAsia" w:ascii="仿宋_GB2312" w:hAnsi="宋体" w:eastAsia="仿宋_GB2312" w:cs="仿宋_GB2312"/>
                <w:color w:val="000000"/>
                <w:sz w:val="24"/>
                <w:lang w:eastAsia="zh-CN"/>
              </w:rPr>
              <w:t>——</w:t>
            </w:r>
          </w:p>
        </w:tc>
      </w:tr>
      <w:tr>
        <w:tblPrEx>
          <w:tblCellMar>
            <w:top w:w="0" w:type="dxa"/>
            <w:left w:w="0" w:type="dxa"/>
            <w:bottom w:w="0" w:type="dxa"/>
            <w:right w:w="0" w:type="dxa"/>
          </w:tblCellMar>
        </w:tblPrEx>
        <w:trPr>
          <w:trHeight w:val="275"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Symbol" w:hAnsi="Symbol" w:eastAsia="仿宋_GB2312" w:cs="Symbol"/>
                <w:color w:val="000000"/>
                <w:sz w:val="24"/>
              </w:rPr>
            </w:pPr>
            <w:r>
              <w:rPr>
                <w:rFonts w:ascii="Symbol" w:hAnsi="Symbol" w:eastAsia="仿宋_GB2312" w:cs="Symbol"/>
                <w:color w:val="000000"/>
                <w:kern w:val="0"/>
                <w:sz w:val="24"/>
                <w:lang w:bidi="ar"/>
              </w:rPr>
              <w:t>实施创新示范工程，推出一批重点企业应用场景清单。</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市发展改革委</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color w:val="000000"/>
                <w:sz w:val="24"/>
                <w:lang w:eastAsia="zh-CN"/>
              </w:rPr>
            </w:pPr>
            <w:r>
              <w:rPr>
                <w:rFonts w:hint="eastAsia" w:ascii="仿宋_GB2312" w:hAnsi="宋体" w:eastAsia="仿宋_GB2312" w:cs="仿宋_GB2312"/>
                <w:color w:val="000000"/>
                <w:sz w:val="24"/>
                <w:lang w:eastAsia="zh-CN"/>
              </w:rPr>
              <w:t>——</w:t>
            </w:r>
          </w:p>
        </w:tc>
      </w:tr>
      <w:tr>
        <w:tblPrEx>
          <w:tblCellMar>
            <w:top w:w="0" w:type="dxa"/>
            <w:left w:w="0" w:type="dxa"/>
            <w:bottom w:w="0" w:type="dxa"/>
            <w:right w:w="0" w:type="dxa"/>
          </w:tblCellMar>
        </w:tblPrEx>
        <w:trPr>
          <w:trHeight w:val="1128"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Symbol" w:hAnsi="Symbol" w:eastAsia="仿宋_GB2312" w:cs="Symbol"/>
                <w:color w:val="000000"/>
                <w:sz w:val="24"/>
              </w:rPr>
            </w:pPr>
            <w:r>
              <w:rPr>
                <w:rFonts w:ascii="Symbol" w:hAnsi="Symbol" w:eastAsia="仿宋_GB2312" w:cs="Symbol"/>
                <w:color w:val="000000"/>
                <w:kern w:val="0"/>
                <w:sz w:val="24"/>
                <w:lang w:bidi="ar"/>
              </w:rPr>
              <w:t>着力培育和发展数字经济</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推进城市基础设施智能化，累计建设</w:t>
            </w:r>
            <w:r>
              <w:rPr>
                <w:rFonts w:hint="eastAsia" w:ascii="Times New Roman" w:hAnsi="Times New Roman" w:eastAsia="仿宋_GB2312" w:cs="Times New Roman"/>
                <w:color w:val="000000"/>
                <w:kern w:val="0"/>
                <w:sz w:val="24"/>
                <w:lang w:bidi="ar"/>
              </w:rPr>
              <w:t>5</w:t>
            </w:r>
            <w:r>
              <w:rPr>
                <w:rFonts w:ascii="Times New Roman" w:hAnsi="Times New Roman" w:eastAsia="仿宋_GB2312" w:cs="Times New Roman"/>
                <w:color w:val="000000"/>
                <w:kern w:val="0"/>
                <w:sz w:val="24"/>
                <w:lang w:bidi="ar"/>
              </w:rPr>
              <w:t>G</w:t>
            </w:r>
            <w:r>
              <w:rPr>
                <w:rFonts w:hint="eastAsia" w:ascii="仿宋_GB2312" w:hAnsi="宋体" w:eastAsia="仿宋_GB2312" w:cs="仿宋_GB2312"/>
                <w:color w:val="000000"/>
                <w:kern w:val="0"/>
                <w:sz w:val="24"/>
                <w:lang w:bidi="ar"/>
              </w:rPr>
              <w:t>基站</w:t>
            </w:r>
            <w:r>
              <w:rPr>
                <w:rFonts w:ascii="Symbol" w:hAnsi="Symbol" w:eastAsia="仿宋_GB2312" w:cs="Symbol"/>
                <w:color w:val="000000"/>
                <w:kern w:val="0"/>
                <w:sz w:val="24"/>
                <w:lang w:bidi="ar"/>
              </w:rPr>
              <w:t>万</w:t>
            </w:r>
            <w:r>
              <w:rPr>
                <w:rFonts w:hint="eastAsia" w:ascii="仿宋_GB2312" w:hAnsi="宋体" w:eastAsia="仿宋_GB2312" w:cs="仿宋_GB2312"/>
                <w:color w:val="000000"/>
                <w:kern w:val="0"/>
                <w:sz w:val="24"/>
                <w:lang w:bidi="ar"/>
              </w:rPr>
              <w:t>个。</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市委网信办、市发展改革委、市工业和信息化局、市通信管理局按职责分工负责</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color w:val="000000"/>
                <w:sz w:val="24"/>
                <w:lang w:eastAsia="zh-CN"/>
              </w:rPr>
            </w:pPr>
            <w:r>
              <w:rPr>
                <w:rFonts w:hint="eastAsia" w:ascii="仿宋_GB2312" w:hAnsi="宋体" w:eastAsia="仿宋_GB2312" w:cs="仿宋_GB2312"/>
                <w:color w:val="000000"/>
                <w:sz w:val="24"/>
                <w:lang w:eastAsia="zh-CN"/>
              </w:rPr>
              <w:t>——</w:t>
            </w:r>
          </w:p>
        </w:tc>
      </w:tr>
      <w:tr>
        <w:tblPrEx>
          <w:tblCellMar>
            <w:top w:w="0" w:type="dxa"/>
            <w:left w:w="0" w:type="dxa"/>
            <w:bottom w:w="0" w:type="dxa"/>
            <w:right w:w="0" w:type="dxa"/>
          </w:tblCellMar>
        </w:tblPrEx>
        <w:trPr>
          <w:trHeight w:val="1035"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逐步推进数据资源集聚共享和流通交易，人工智能、云计算等新一代信息技术产业初具规模。</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市委网信办、市发展改革委、市工业和信息化局按职责分工负责</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color w:val="000000"/>
                <w:sz w:val="24"/>
                <w:lang w:eastAsia="zh-CN"/>
              </w:rPr>
            </w:pPr>
            <w:r>
              <w:rPr>
                <w:rFonts w:hint="eastAsia" w:ascii="仿宋_GB2312" w:hAnsi="宋体" w:eastAsia="仿宋_GB2312" w:cs="仿宋_GB2312"/>
                <w:color w:val="000000"/>
                <w:sz w:val="24"/>
                <w:lang w:eastAsia="zh-CN"/>
              </w:rPr>
              <w:t>——</w:t>
            </w:r>
          </w:p>
        </w:tc>
      </w:tr>
      <w:tr>
        <w:tblPrEx>
          <w:tblCellMar>
            <w:top w:w="0" w:type="dxa"/>
            <w:left w:w="0" w:type="dxa"/>
            <w:bottom w:w="0" w:type="dxa"/>
            <w:right w:w="0" w:type="dxa"/>
          </w:tblCellMar>
        </w:tblPrEx>
        <w:trPr>
          <w:trHeight w:val="1673"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Symbol" w:hAnsi="Symbol" w:eastAsia="仿宋_GB2312" w:cs="Symbol"/>
                <w:color w:val="000000"/>
                <w:sz w:val="24"/>
              </w:rPr>
            </w:pPr>
            <w:r>
              <w:rPr>
                <w:rFonts w:ascii="Symbol" w:hAnsi="Symbol" w:eastAsia="仿宋_GB2312" w:cs="Symbol"/>
                <w:color w:val="000000"/>
                <w:kern w:val="0"/>
                <w:sz w:val="24"/>
                <w:lang w:bidi="ar"/>
              </w:rPr>
              <w:t>持续提升市场开放度</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打造智慧港口，营建智慧园区，推进“港城”</w:t>
            </w:r>
            <w:r>
              <w:rPr>
                <w:rFonts w:hint="eastAsia" w:ascii="仿宋_GB2312" w:hAnsi="宋体" w:eastAsia="仿宋_GB2312" w:cs="仿宋_GB2312"/>
                <w:color w:val="000000"/>
                <w:kern w:val="0"/>
                <w:sz w:val="24"/>
                <w:lang w:eastAsia="zh-CN" w:bidi="ar"/>
              </w:rPr>
              <w:t>、</w:t>
            </w:r>
            <w:r>
              <w:rPr>
                <w:rFonts w:hint="eastAsia" w:ascii="仿宋_GB2312" w:hAnsi="宋体" w:eastAsia="仿宋_GB2312" w:cs="仿宋_GB2312"/>
                <w:color w:val="000000"/>
                <w:kern w:val="0"/>
                <w:sz w:val="24"/>
                <w:lang w:bidi="ar"/>
              </w:rPr>
              <w:t>“产城”深度融合，完成进口集装箱提货单无纸化。</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市委网信办、市发展改革委、市工业和信息化局、市交通运输委、市商务局、市应急局、天津港集团按职责分工负责</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color w:val="000000"/>
                <w:sz w:val="24"/>
                <w:lang w:eastAsia="zh-CN"/>
              </w:rPr>
            </w:pPr>
            <w:r>
              <w:rPr>
                <w:rFonts w:hint="eastAsia" w:ascii="仿宋_GB2312" w:hAnsi="宋体" w:eastAsia="仿宋_GB2312" w:cs="仿宋_GB2312"/>
                <w:color w:val="000000"/>
                <w:sz w:val="24"/>
                <w:lang w:eastAsia="zh-CN"/>
              </w:rPr>
              <w:t>——</w:t>
            </w:r>
          </w:p>
        </w:tc>
      </w:tr>
      <w:tr>
        <w:tblPrEx>
          <w:tblCellMar>
            <w:top w:w="0" w:type="dxa"/>
            <w:left w:w="0" w:type="dxa"/>
            <w:bottom w:w="0" w:type="dxa"/>
            <w:right w:w="0" w:type="dxa"/>
          </w:tblCellMar>
        </w:tblPrEx>
        <w:trPr>
          <w:trHeight w:val="489"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序号</w:t>
            </w:r>
          </w:p>
        </w:tc>
        <w:tc>
          <w:tcPr>
            <w:tcW w:w="11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重点任务</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改革措施</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牵头单位</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责任单位</w:t>
            </w:r>
          </w:p>
        </w:tc>
      </w:tr>
      <w:tr>
        <w:tblPrEx>
          <w:tblCellMar>
            <w:top w:w="0" w:type="dxa"/>
            <w:left w:w="0" w:type="dxa"/>
            <w:bottom w:w="0" w:type="dxa"/>
            <w:right w:w="0" w:type="dxa"/>
          </w:tblCellMar>
        </w:tblPrEx>
        <w:trPr>
          <w:trHeight w:val="507"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Symbol" w:hAnsi="Symbol" w:eastAsia="仿宋_GB2312" w:cs="Symbol"/>
                <w:color w:val="000000"/>
                <w:sz w:val="24"/>
              </w:rPr>
            </w:pPr>
            <w:r>
              <w:rPr>
                <w:rFonts w:ascii="Symbol" w:hAnsi="Symbol" w:eastAsia="仿宋_GB2312" w:cs="Symbol"/>
                <w:color w:val="000000"/>
                <w:kern w:val="0"/>
                <w:sz w:val="24"/>
                <w:lang w:bidi="ar"/>
              </w:rPr>
              <w:t>持续提升市场开放度</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Symbol" w:hAnsi="Symbol" w:eastAsia="仿宋_GB2312" w:cs="Symbol"/>
                <w:color w:val="000000"/>
                <w:sz w:val="24"/>
              </w:rPr>
            </w:pPr>
            <w:r>
              <w:rPr>
                <w:rFonts w:ascii="Symbol" w:hAnsi="Symbol" w:eastAsia="仿宋_GB2312" w:cs="Symbol"/>
                <w:color w:val="000000"/>
                <w:kern w:val="0"/>
                <w:sz w:val="24"/>
                <w:lang w:bidi="ar"/>
              </w:rPr>
              <w:t>全市实际使用外资实现正增长，全国排名保持前。</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市商务局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color w:val="000000"/>
                <w:sz w:val="24"/>
                <w:lang w:eastAsia="zh-CN"/>
              </w:rPr>
            </w:pPr>
            <w:r>
              <w:rPr>
                <w:rFonts w:hint="eastAsia" w:ascii="仿宋_GB2312" w:hAnsi="宋体" w:eastAsia="仿宋_GB2312" w:cs="仿宋_GB2312"/>
                <w:color w:val="000000"/>
                <w:sz w:val="24"/>
                <w:lang w:eastAsia="zh-CN"/>
              </w:rPr>
              <w:t>——</w:t>
            </w:r>
          </w:p>
        </w:tc>
      </w:tr>
      <w:tr>
        <w:tblPrEx>
          <w:tblCellMar>
            <w:top w:w="0" w:type="dxa"/>
            <w:left w:w="0" w:type="dxa"/>
            <w:bottom w:w="0" w:type="dxa"/>
            <w:right w:w="0" w:type="dxa"/>
          </w:tblCellMar>
        </w:tblPrEx>
        <w:trPr>
          <w:trHeight w:val="503"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Symbol" w:hAnsi="Symbol" w:eastAsia="仿宋_GB2312" w:cs="Symbol"/>
                <w:color w:val="000000"/>
                <w:sz w:val="24"/>
              </w:rPr>
            </w:pPr>
            <w:r>
              <w:rPr>
                <w:rFonts w:ascii="Symbol" w:hAnsi="Symbol" w:eastAsia="仿宋_GB2312" w:cs="Symbol"/>
                <w:color w:val="000000"/>
                <w:kern w:val="0"/>
                <w:sz w:val="24"/>
                <w:lang w:bidi="ar"/>
              </w:rPr>
              <w:t>全市货物贸易进出口规模保持全国前。</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市商务局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color w:val="000000"/>
                <w:sz w:val="24"/>
                <w:lang w:eastAsia="zh-CN"/>
              </w:rPr>
            </w:pPr>
            <w:r>
              <w:rPr>
                <w:rFonts w:hint="eastAsia" w:ascii="仿宋_GB2312" w:hAnsi="宋体" w:eastAsia="仿宋_GB2312" w:cs="仿宋_GB2312"/>
                <w:color w:val="000000"/>
                <w:sz w:val="24"/>
                <w:lang w:eastAsia="zh-CN"/>
              </w:rPr>
              <w:t>——</w:t>
            </w:r>
          </w:p>
        </w:tc>
      </w:tr>
      <w:tr>
        <w:tblPrEx>
          <w:tblCellMar>
            <w:top w:w="0" w:type="dxa"/>
            <w:left w:w="0" w:type="dxa"/>
            <w:bottom w:w="0" w:type="dxa"/>
            <w:right w:w="0" w:type="dxa"/>
          </w:tblCellMar>
        </w:tblPrEx>
        <w:trPr>
          <w:trHeight w:val="1032"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Symbol" w:hAnsi="Symbol" w:eastAsia="仿宋_GB2312" w:cs="Symbol"/>
                <w:color w:val="000000"/>
                <w:sz w:val="24"/>
              </w:rPr>
            </w:pPr>
            <w:r>
              <w:rPr>
                <w:rFonts w:ascii="Symbol" w:hAnsi="Symbol" w:eastAsia="仿宋_GB2312" w:cs="Symbol"/>
                <w:color w:val="000000"/>
                <w:kern w:val="0"/>
                <w:sz w:val="24"/>
                <w:lang w:bidi="ar"/>
              </w:rPr>
              <w:t>深入推进法治化营商环境</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统筹推进法治化营商环境建设工作，清理不符合《优化营商环境条例》《天津市优化营商环境条例》要求的规章制度。</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市委全面依法治市委员会办公室、市政务服务办</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市司法局，各区人民政府</w:t>
            </w:r>
          </w:p>
        </w:tc>
      </w:tr>
      <w:tr>
        <w:tblPrEx>
          <w:tblCellMar>
            <w:top w:w="0" w:type="dxa"/>
            <w:left w:w="0" w:type="dxa"/>
            <w:bottom w:w="0" w:type="dxa"/>
            <w:right w:w="0" w:type="dxa"/>
          </w:tblCellMar>
        </w:tblPrEx>
        <w:trPr>
          <w:trHeight w:val="800"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优化“政策一点通”平台功能，及时发布政策及解读信息，进一步提升政策解读水平。</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市发展改革委、市委网信办、市政务服务办</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市级有关单位，各区人民政府</w:t>
            </w:r>
          </w:p>
        </w:tc>
      </w:tr>
      <w:tr>
        <w:tblPrEx>
          <w:tblCellMar>
            <w:top w:w="0" w:type="dxa"/>
            <w:left w:w="0" w:type="dxa"/>
            <w:bottom w:w="0" w:type="dxa"/>
            <w:right w:w="0" w:type="dxa"/>
          </w:tblCellMar>
        </w:tblPrEx>
        <w:trPr>
          <w:trHeight w:val="624"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加强政策制定前的调研论证和实施后的第三方评估。</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24"/>
                <w:lang w:bidi="ar"/>
              </w:rPr>
            </w:pPr>
            <w:r>
              <w:rPr>
                <w:rFonts w:hint="eastAsia" w:ascii="仿宋_GB2312" w:hAnsi="宋体" w:eastAsia="仿宋_GB2312" w:cs="仿宋_GB2312"/>
                <w:color w:val="000000"/>
                <w:kern w:val="0"/>
                <w:sz w:val="24"/>
                <w:lang w:bidi="ar"/>
              </w:rPr>
              <w:t>各相关单位</w:t>
            </w:r>
          </w:p>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各区人民政府</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color w:val="000000"/>
                <w:sz w:val="24"/>
                <w:lang w:eastAsia="zh-CN"/>
              </w:rPr>
            </w:pPr>
            <w:r>
              <w:rPr>
                <w:rFonts w:hint="eastAsia" w:ascii="仿宋_GB2312" w:hAnsi="宋体" w:eastAsia="仿宋_GB2312" w:cs="仿宋_GB2312"/>
                <w:color w:val="000000"/>
                <w:sz w:val="24"/>
                <w:lang w:eastAsia="zh-CN"/>
              </w:rPr>
              <w:t>——</w:t>
            </w:r>
          </w:p>
        </w:tc>
      </w:tr>
      <w:tr>
        <w:tblPrEx>
          <w:tblCellMar>
            <w:top w:w="0" w:type="dxa"/>
            <w:left w:w="0" w:type="dxa"/>
            <w:bottom w:w="0" w:type="dxa"/>
            <w:right w:w="0" w:type="dxa"/>
          </w:tblCellMar>
        </w:tblPrEx>
        <w:trPr>
          <w:trHeight w:val="640"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Symbol" w:hAnsi="Symbol" w:eastAsia="仿宋_GB2312" w:cs="Symbol"/>
                <w:color w:val="000000"/>
                <w:sz w:val="24"/>
              </w:rPr>
            </w:pPr>
            <w:r>
              <w:rPr>
                <w:rFonts w:ascii="Symbol" w:hAnsi="Symbol" w:eastAsia="仿宋_GB2312" w:cs="Symbol"/>
                <w:color w:val="000000"/>
                <w:kern w:val="0"/>
                <w:sz w:val="24"/>
                <w:lang w:bidi="ar"/>
              </w:rPr>
              <w:t>完善信用体系建设</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启动信用信息共享平台二期建设，开展政务诚信监测工作，建立政务诚信评价机制。编制印发《天津市公务员诚信手册》。</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市发展改革委</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市级有关单位</w:t>
            </w:r>
          </w:p>
        </w:tc>
      </w:tr>
      <w:tr>
        <w:tblPrEx>
          <w:tblCellMar>
            <w:top w:w="0" w:type="dxa"/>
            <w:left w:w="0" w:type="dxa"/>
            <w:bottom w:w="0" w:type="dxa"/>
            <w:right w:w="0" w:type="dxa"/>
          </w:tblCellMar>
        </w:tblPrEx>
        <w:trPr>
          <w:trHeight w:val="1220"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推动首批（</w:t>
            </w:r>
            <w:r>
              <w:rPr>
                <w:rFonts w:ascii="Symbol" w:hAnsi="Symbol" w:eastAsia="仿宋_GB2312" w:cs="Symbol"/>
                <w:color w:val="000000"/>
                <w:kern w:val="0"/>
                <w:sz w:val="24"/>
                <w:lang w:bidi="ar"/>
              </w:rPr>
              <w:t></w:t>
            </w:r>
            <w:r>
              <w:rPr>
                <w:rFonts w:hint="eastAsia" w:ascii="仿宋_GB2312" w:hAnsi="宋体" w:eastAsia="仿宋_GB2312" w:cs="仿宋_GB2312"/>
                <w:color w:val="000000"/>
                <w:kern w:val="0"/>
                <w:sz w:val="24"/>
                <w:lang w:bidi="ar"/>
              </w:rPr>
              <w:t>个）重点行业（领域）构建行业信用监管责任体系，推行事前信用承诺、应用信用报告，事中信用综合评价、分级分类监管，事后信用奖惩、信用修复等措施。在市信用共享平台开发上线公共信用评价功能。</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市发展改革委</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市级有关单位</w:t>
            </w:r>
          </w:p>
        </w:tc>
      </w:tr>
      <w:tr>
        <w:tblPrEx>
          <w:tblCellMar>
            <w:top w:w="0" w:type="dxa"/>
            <w:left w:w="0" w:type="dxa"/>
            <w:bottom w:w="0" w:type="dxa"/>
            <w:right w:w="0" w:type="dxa"/>
          </w:tblCellMar>
        </w:tblPrEx>
        <w:trPr>
          <w:trHeight w:val="528"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Symbol" w:hAnsi="Symbol" w:eastAsia="仿宋_GB2312" w:cs="Symbol"/>
                <w:color w:val="000000"/>
                <w:sz w:val="24"/>
              </w:rPr>
            </w:pPr>
            <w:r>
              <w:rPr>
                <w:rFonts w:ascii="Symbol" w:hAnsi="Symbol" w:eastAsia="仿宋_GB2312" w:cs="Symbol"/>
                <w:color w:val="000000"/>
                <w:kern w:val="0"/>
                <w:sz w:val="24"/>
                <w:lang w:bidi="ar"/>
              </w:rPr>
              <w:t>加强知识产权创造、保护和运用</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推进知识产权强企工程，有效发明专利达</w:t>
            </w:r>
            <w:r>
              <w:rPr>
                <w:rFonts w:ascii="Symbol" w:hAnsi="Symbol" w:eastAsia="仿宋_GB2312" w:cs="Symbol"/>
                <w:color w:val="000000"/>
                <w:kern w:val="0"/>
                <w:sz w:val="24"/>
                <w:lang w:bidi="ar"/>
              </w:rPr>
              <w:t>到万</w:t>
            </w:r>
            <w:r>
              <w:rPr>
                <w:rFonts w:hint="eastAsia" w:ascii="仿宋_GB2312" w:hAnsi="宋体" w:eastAsia="仿宋_GB2312" w:cs="仿宋_GB2312"/>
                <w:color w:val="000000"/>
                <w:kern w:val="0"/>
                <w:sz w:val="24"/>
                <w:lang w:bidi="ar"/>
              </w:rPr>
              <w:t>件。</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市知识产权局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color w:val="000000"/>
                <w:sz w:val="24"/>
                <w:lang w:eastAsia="zh-CN"/>
              </w:rPr>
            </w:pPr>
            <w:r>
              <w:rPr>
                <w:rFonts w:hint="eastAsia" w:ascii="仿宋_GB2312" w:hAnsi="宋体" w:eastAsia="仿宋_GB2312" w:cs="仿宋_GB2312"/>
                <w:color w:val="000000"/>
                <w:sz w:val="24"/>
                <w:lang w:eastAsia="zh-CN"/>
              </w:rPr>
              <w:t>——</w:t>
            </w:r>
          </w:p>
        </w:tc>
      </w:tr>
      <w:tr>
        <w:tblPrEx>
          <w:tblCellMar>
            <w:top w:w="0" w:type="dxa"/>
            <w:left w:w="0" w:type="dxa"/>
            <w:bottom w:w="0" w:type="dxa"/>
            <w:right w:w="0" w:type="dxa"/>
          </w:tblCellMar>
        </w:tblPrEx>
        <w:trPr>
          <w:trHeight w:val="993"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依法适用惩罚性赔偿制度，提高侵权违法成本，探索建立仲裁、调解优先推荐机制，完善知识产权纠纷多元化解决机制，推进行政执法、司法保护、仲裁、调解等高效对接。</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市高法院</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市司法局、市知识产权局、市贸促会</w:t>
            </w:r>
          </w:p>
        </w:tc>
      </w:tr>
      <w:tr>
        <w:tblPrEx>
          <w:tblCellMar>
            <w:top w:w="0" w:type="dxa"/>
            <w:left w:w="0" w:type="dxa"/>
            <w:bottom w:w="0" w:type="dxa"/>
            <w:right w:w="0" w:type="dxa"/>
          </w:tblCellMar>
        </w:tblPrEx>
        <w:trPr>
          <w:trHeight w:val="520"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建成中国（天津）知识产权保护中心，通过国家知识产权局验收。</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市知识产权局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color w:val="000000"/>
                <w:sz w:val="24"/>
                <w:lang w:eastAsia="zh-CN"/>
              </w:rPr>
            </w:pPr>
            <w:r>
              <w:rPr>
                <w:rFonts w:hint="eastAsia" w:ascii="仿宋_GB2312" w:hAnsi="宋体" w:eastAsia="仿宋_GB2312" w:cs="仿宋_GB2312"/>
                <w:color w:val="000000"/>
                <w:sz w:val="24"/>
                <w:lang w:eastAsia="zh-CN"/>
              </w:rPr>
              <w:t>——</w:t>
            </w:r>
          </w:p>
        </w:tc>
      </w:tr>
      <w:tr>
        <w:tblPrEx>
          <w:tblCellMar>
            <w:top w:w="0" w:type="dxa"/>
            <w:left w:w="0" w:type="dxa"/>
            <w:bottom w:w="0" w:type="dxa"/>
            <w:right w:w="0" w:type="dxa"/>
          </w:tblCellMar>
        </w:tblPrEx>
        <w:trPr>
          <w:trHeight w:val="616"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持续推进滨海新区、东丽区全国知识产权运营服务体系试点城区建设。</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市知识产权局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滨海新区人民政府</w:t>
            </w:r>
            <w:r>
              <w:rPr>
                <w:rFonts w:hint="eastAsia" w:ascii="仿宋_GB2312" w:hAnsi="宋体" w:eastAsia="仿宋_GB2312" w:cs="仿宋_GB2312"/>
                <w:color w:val="000000"/>
                <w:kern w:val="0"/>
                <w:sz w:val="24"/>
                <w:lang w:eastAsia="zh-CN" w:bidi="ar"/>
              </w:rPr>
              <w:t>、</w:t>
            </w:r>
            <w:r>
              <w:rPr>
                <w:rFonts w:hint="eastAsia" w:ascii="仿宋_GB2312" w:hAnsi="宋体" w:eastAsia="仿宋_GB2312" w:cs="仿宋_GB2312"/>
                <w:color w:val="000000"/>
                <w:kern w:val="0"/>
                <w:sz w:val="24"/>
                <w:lang w:bidi="ar"/>
              </w:rPr>
              <w:t>东丽区人民政府</w:t>
            </w:r>
          </w:p>
        </w:tc>
      </w:tr>
      <w:tr>
        <w:tblPrEx>
          <w:tblCellMar>
            <w:top w:w="0" w:type="dxa"/>
            <w:left w:w="0" w:type="dxa"/>
            <w:bottom w:w="0" w:type="dxa"/>
            <w:right w:w="0" w:type="dxa"/>
          </w:tblCellMar>
        </w:tblPrEx>
        <w:trPr>
          <w:trHeight w:val="90"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序号</w:t>
            </w:r>
          </w:p>
        </w:tc>
        <w:tc>
          <w:tcPr>
            <w:tcW w:w="11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重点任务</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改革措施</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牵头单位</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责任单位</w:t>
            </w:r>
          </w:p>
        </w:tc>
      </w:tr>
      <w:tr>
        <w:tblPrEx>
          <w:tblCellMar>
            <w:top w:w="0" w:type="dxa"/>
            <w:left w:w="0" w:type="dxa"/>
            <w:bottom w:w="0" w:type="dxa"/>
            <w:right w:w="0" w:type="dxa"/>
          </w:tblCellMar>
        </w:tblPrEx>
        <w:trPr>
          <w:trHeight w:val="373"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Symbol" w:hAnsi="Symbol" w:eastAsia="仿宋_GB2312" w:cs="Symbol"/>
                <w:color w:val="000000"/>
                <w:sz w:val="24"/>
              </w:rPr>
            </w:pPr>
            <w:r>
              <w:rPr>
                <w:rFonts w:ascii="Symbol" w:hAnsi="Symbol" w:eastAsia="仿宋_GB2312" w:cs="Symbol"/>
                <w:color w:val="000000"/>
                <w:kern w:val="0"/>
                <w:sz w:val="24"/>
                <w:lang w:bidi="ar"/>
              </w:rPr>
              <w:t>提高合同执行率</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通过社会化专业服务平台，提高全市法院送达工作一体式集约化水平。</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市高法院</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市级有关单位</w:t>
            </w:r>
          </w:p>
        </w:tc>
      </w:tr>
      <w:tr>
        <w:tblPrEx>
          <w:tblCellMar>
            <w:top w:w="0" w:type="dxa"/>
            <w:left w:w="0" w:type="dxa"/>
            <w:bottom w:w="0" w:type="dxa"/>
            <w:right w:w="0" w:type="dxa"/>
          </w:tblCellMar>
        </w:tblPrEx>
        <w:trPr>
          <w:trHeight w:val="384"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推进与市场监督管理等部门数据对接共享，进一步提高送达效率。</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市高法院</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市市场监管委等有关单位</w:t>
            </w:r>
          </w:p>
        </w:tc>
      </w:tr>
      <w:tr>
        <w:tblPrEx>
          <w:tblCellMar>
            <w:top w:w="0" w:type="dxa"/>
            <w:left w:w="0" w:type="dxa"/>
            <w:bottom w:w="0" w:type="dxa"/>
            <w:right w:w="0" w:type="dxa"/>
          </w:tblCellMar>
        </w:tblPrEx>
        <w:trPr>
          <w:trHeight w:val="603"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对接各类行业调解组织、人民调解组织，增加我市人民法院调解平台入驻调解员数量。</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市高法院</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市级有关单位</w:t>
            </w:r>
          </w:p>
        </w:tc>
      </w:tr>
      <w:tr>
        <w:tblPrEx>
          <w:tblCellMar>
            <w:top w:w="0" w:type="dxa"/>
            <w:left w:w="0" w:type="dxa"/>
            <w:bottom w:w="0" w:type="dxa"/>
            <w:right w:w="0" w:type="dxa"/>
          </w:tblCellMar>
        </w:tblPrEx>
        <w:trPr>
          <w:trHeight w:val="511"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加大“分调裁审”工作力度，提高“分调裁审”案件占全市法院收案总数的比例。</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市高法院</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市级有关单位</w:t>
            </w:r>
          </w:p>
        </w:tc>
      </w:tr>
      <w:tr>
        <w:tblPrEx>
          <w:tblCellMar>
            <w:top w:w="0" w:type="dxa"/>
            <w:left w:w="0" w:type="dxa"/>
            <w:bottom w:w="0" w:type="dxa"/>
            <w:right w:w="0" w:type="dxa"/>
          </w:tblCellMar>
        </w:tblPrEx>
        <w:trPr>
          <w:trHeight w:val="554"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探索建立专业化审判团队和一体化办案平台，对小额消费类金融案件进行集约化审理。</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市高法院</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市级有关单位</w:t>
            </w:r>
          </w:p>
        </w:tc>
      </w:tr>
      <w:tr>
        <w:tblPrEx>
          <w:tblCellMar>
            <w:top w:w="0" w:type="dxa"/>
            <w:left w:w="0" w:type="dxa"/>
            <w:bottom w:w="0" w:type="dxa"/>
            <w:right w:w="0" w:type="dxa"/>
          </w:tblCellMar>
        </w:tblPrEx>
        <w:trPr>
          <w:trHeight w:val="566"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在法院大数据平台建立涉民营经济类案件专题统计模块，对相关案件各项质效进行统计分析，并建立定期通报机制。</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市高法院</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市级有关单位</w:t>
            </w:r>
          </w:p>
        </w:tc>
      </w:tr>
      <w:tr>
        <w:tblPrEx>
          <w:tblCellMar>
            <w:top w:w="0" w:type="dxa"/>
            <w:left w:w="0" w:type="dxa"/>
            <w:bottom w:w="0" w:type="dxa"/>
            <w:right w:w="0" w:type="dxa"/>
          </w:tblCellMar>
        </w:tblPrEx>
        <w:trPr>
          <w:trHeight w:val="889"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建设完善终本恢复平台，确保各系统之间对接、运行顺畅，实现财产核查与恢复执行立案的有效衔接，做到执行管理平台对终本案件恢复执行工作的全程留痕、实时监管。</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市高法院</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市级有关单位</w:t>
            </w:r>
          </w:p>
        </w:tc>
      </w:tr>
      <w:tr>
        <w:tblPrEx>
          <w:tblCellMar>
            <w:top w:w="0" w:type="dxa"/>
            <w:left w:w="0" w:type="dxa"/>
            <w:bottom w:w="0" w:type="dxa"/>
            <w:right w:w="0" w:type="dxa"/>
          </w:tblCellMar>
        </w:tblPrEx>
        <w:trPr>
          <w:trHeight w:val="681"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Symbol" w:hAnsi="Symbol" w:eastAsia="仿宋_GB2312" w:cs="Symbol"/>
                <w:color w:val="000000"/>
                <w:sz w:val="24"/>
              </w:rPr>
            </w:pPr>
            <w:r>
              <w:rPr>
                <w:rFonts w:ascii="Symbol" w:hAnsi="Symbol" w:eastAsia="仿宋_GB2312" w:cs="Symbol"/>
                <w:color w:val="000000"/>
                <w:kern w:val="0"/>
                <w:sz w:val="24"/>
                <w:lang w:bidi="ar"/>
              </w:rPr>
              <w:t></w:t>
            </w:r>
            <w:r>
              <w:rPr>
                <w:rFonts w:hint="default" w:ascii="Symbol" w:hAnsi="Symbol" w:eastAsia="仿宋_GB2312" w:cs="Symbol"/>
                <w:color w:val="000000"/>
                <w:kern w:val="0"/>
                <w:sz w:val="24"/>
                <w:lang w:val="en" w:bidi="ar"/>
              </w:rPr>
              <w:t>.</w:t>
            </w:r>
            <w:r>
              <w:rPr>
                <w:rFonts w:ascii="Symbol" w:hAnsi="Symbol" w:eastAsia="仿宋_GB2312" w:cs="Symbol"/>
                <w:color w:val="000000"/>
                <w:kern w:val="0"/>
                <w:sz w:val="24"/>
                <w:lang w:bidi="ar"/>
              </w:rPr>
              <w:t>加大对中小投资者保护力度</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积极开展投资者宣传教育，将价值投资理念纳入国民教育体系，倡导理性投资、价值投资、长期投资,继续举办投资者教育走进校园等活动。</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天津证监局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市教委</w:t>
            </w:r>
          </w:p>
        </w:tc>
      </w:tr>
      <w:tr>
        <w:tblPrEx>
          <w:tblCellMar>
            <w:top w:w="0" w:type="dxa"/>
            <w:left w:w="0" w:type="dxa"/>
            <w:bottom w:w="0" w:type="dxa"/>
            <w:right w:w="0" w:type="dxa"/>
          </w:tblCellMar>
        </w:tblPrEx>
        <w:trPr>
          <w:trHeight w:val="659"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推进证券纠纷多元化解机制建设，探索开展证券纠纷代表人诉讼、“示范判决+纠纷调解”等依法化解证券纠纷工作机制。</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24"/>
                <w:lang w:bidi="ar"/>
              </w:rPr>
            </w:pPr>
            <w:r>
              <w:rPr>
                <w:rFonts w:hint="eastAsia" w:ascii="仿宋_GB2312" w:hAnsi="宋体" w:eastAsia="仿宋_GB2312" w:cs="仿宋_GB2312"/>
                <w:color w:val="000000"/>
                <w:kern w:val="0"/>
                <w:sz w:val="24"/>
                <w:lang w:bidi="ar"/>
              </w:rPr>
              <w:t>天津证监局</w:t>
            </w:r>
          </w:p>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市高法院</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市司法局</w:t>
            </w:r>
          </w:p>
        </w:tc>
      </w:tr>
      <w:tr>
        <w:tblPrEx>
          <w:tblCellMar>
            <w:top w:w="0" w:type="dxa"/>
            <w:left w:w="0" w:type="dxa"/>
            <w:bottom w:w="0" w:type="dxa"/>
            <w:right w:w="0" w:type="dxa"/>
          </w:tblCellMar>
        </w:tblPrEx>
        <w:trPr>
          <w:trHeight w:val="878"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Symbol" w:hAnsi="Symbol" w:eastAsia="仿宋_GB2312" w:cs="Symbol"/>
                <w:color w:val="000000"/>
                <w:sz w:val="24"/>
              </w:rPr>
            </w:pPr>
            <w:r>
              <w:rPr>
                <w:rFonts w:ascii="Symbol" w:hAnsi="Symbol" w:eastAsia="仿宋_GB2312" w:cs="Symbol"/>
                <w:color w:val="000000"/>
                <w:kern w:val="0"/>
                <w:sz w:val="24"/>
                <w:lang w:bidi="ar"/>
              </w:rPr>
              <w:t></w:t>
            </w:r>
            <w:r>
              <w:rPr>
                <w:rFonts w:hint="default" w:ascii="Symbol" w:hAnsi="Symbol" w:eastAsia="仿宋_GB2312" w:cs="Symbol"/>
                <w:color w:val="000000"/>
                <w:kern w:val="0"/>
                <w:sz w:val="24"/>
                <w:lang w:val="en" w:bidi="ar"/>
              </w:rPr>
              <w:t>.</w:t>
            </w:r>
            <w:r>
              <w:rPr>
                <w:rFonts w:ascii="Symbol" w:hAnsi="Symbol" w:eastAsia="仿宋_GB2312" w:cs="Symbol"/>
                <w:color w:val="000000"/>
                <w:kern w:val="0"/>
                <w:sz w:val="24"/>
                <w:lang w:bidi="ar"/>
              </w:rPr>
              <w:t>提高办理企业破产便利度</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研究制定管理人绩效考评办法，加强破产管理人的动态管理，在管理人分级静态管理的基础上，结合管理人执业能力、履职表现，综合确定管理人业绩考核的评价标准和程序规则，实现管理人有序晋级、降级或予以除名。</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市高法院</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市级有关单位</w:t>
            </w:r>
          </w:p>
        </w:tc>
      </w:tr>
      <w:tr>
        <w:tblPrEx>
          <w:tblCellMar>
            <w:top w:w="0" w:type="dxa"/>
            <w:left w:w="0" w:type="dxa"/>
            <w:bottom w:w="0" w:type="dxa"/>
            <w:right w:w="0" w:type="dxa"/>
          </w:tblCellMar>
        </w:tblPrEx>
        <w:trPr>
          <w:trHeight w:val="256"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完善破产审判配套机制建设，探索建立破产清算与重整有效识别机制，充分发挥天津破产法庭对全市破产案件集中管辖的专业化审判优势。</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市高法院</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市级有关单位</w:t>
            </w:r>
          </w:p>
        </w:tc>
      </w:tr>
      <w:tr>
        <w:tblPrEx>
          <w:tblCellMar>
            <w:top w:w="0" w:type="dxa"/>
            <w:left w:w="0" w:type="dxa"/>
            <w:bottom w:w="0" w:type="dxa"/>
            <w:right w:w="0" w:type="dxa"/>
          </w:tblCellMar>
        </w:tblPrEx>
        <w:trPr>
          <w:trHeight w:val="331"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逐步完善破产费用保障机制，探索设立破产费用援助资金，用于财产不足以支付破产费用的案件，解决该类案件启动和推进难题。</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市高法院</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市级有关单位</w:t>
            </w:r>
          </w:p>
        </w:tc>
      </w:tr>
      <w:tr>
        <w:tblPrEx>
          <w:tblCellMar>
            <w:top w:w="0" w:type="dxa"/>
            <w:left w:w="0" w:type="dxa"/>
            <w:bottom w:w="0" w:type="dxa"/>
            <w:right w:w="0" w:type="dxa"/>
          </w:tblCellMar>
        </w:tblPrEx>
        <w:trPr>
          <w:trHeight w:val="389"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序号</w:t>
            </w:r>
          </w:p>
        </w:tc>
        <w:tc>
          <w:tcPr>
            <w:tcW w:w="11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重点任务</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改革措施</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牵头单位</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责任单位</w:t>
            </w:r>
          </w:p>
        </w:tc>
      </w:tr>
      <w:tr>
        <w:tblPrEx>
          <w:tblCellMar>
            <w:top w:w="0" w:type="dxa"/>
            <w:left w:w="0" w:type="dxa"/>
            <w:bottom w:w="0" w:type="dxa"/>
            <w:right w:w="0" w:type="dxa"/>
          </w:tblCellMar>
        </w:tblPrEx>
        <w:trPr>
          <w:trHeight w:val="639"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Symbol" w:hAnsi="Symbol" w:eastAsia="仿宋_GB2312" w:cs="Symbol"/>
                <w:color w:val="000000"/>
                <w:sz w:val="24"/>
              </w:rPr>
            </w:pPr>
            <w:r>
              <w:rPr>
                <w:rFonts w:ascii="Symbol" w:hAnsi="Symbol" w:eastAsia="仿宋_GB2312" w:cs="Symbol"/>
                <w:color w:val="000000"/>
                <w:kern w:val="0"/>
                <w:sz w:val="24"/>
                <w:lang w:bidi="ar"/>
              </w:rPr>
              <w:t>加大人才引育力度</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加强我市“双一流”高校、重点实验室、院士专家工作站、博士后工作站等各类平台建设。</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市人社局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市教委、市科技局</w:t>
            </w:r>
          </w:p>
        </w:tc>
      </w:tr>
      <w:tr>
        <w:tblPrEx>
          <w:tblCellMar>
            <w:top w:w="0" w:type="dxa"/>
            <w:left w:w="0" w:type="dxa"/>
            <w:bottom w:w="0" w:type="dxa"/>
            <w:right w:w="0" w:type="dxa"/>
          </w:tblCellMar>
        </w:tblPrEx>
        <w:trPr>
          <w:trHeight w:val="718"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推动“中国天津人力资源服务产业园”建设，进一步增加园区楼宇面积、产业园发展政策覆盖面积。</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市人社局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相关区人民政府</w:t>
            </w:r>
          </w:p>
        </w:tc>
      </w:tr>
      <w:tr>
        <w:tblPrEx>
          <w:tblCellMar>
            <w:top w:w="0" w:type="dxa"/>
            <w:left w:w="0" w:type="dxa"/>
            <w:bottom w:w="0" w:type="dxa"/>
            <w:right w:w="0" w:type="dxa"/>
          </w:tblCellMar>
        </w:tblPrEx>
        <w:trPr>
          <w:trHeight w:val="991"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依托各类引才活动，搭建人才引进和项目对接平台，大力引进重点产业人才。畅通高校毕业生引进绿色通道，为应届毕业生来津留津提供引进落户手续办理一站式服务。</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市人社局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市公安局、市教委</w:t>
            </w:r>
            <w:r>
              <w:rPr>
                <w:rFonts w:hint="eastAsia" w:ascii="仿宋_GB2312" w:hAnsi="宋体" w:eastAsia="仿宋_GB2312" w:cs="仿宋_GB2312"/>
                <w:color w:val="000000"/>
                <w:kern w:val="0"/>
                <w:sz w:val="24"/>
                <w:highlight w:val="none"/>
                <w:lang w:bidi="ar"/>
              </w:rPr>
              <w:t>等有关单位</w:t>
            </w:r>
          </w:p>
        </w:tc>
      </w:tr>
      <w:tr>
        <w:tblPrEx>
          <w:tblCellMar>
            <w:top w:w="0" w:type="dxa"/>
            <w:left w:w="0" w:type="dxa"/>
            <w:bottom w:w="0" w:type="dxa"/>
            <w:right w:w="0" w:type="dxa"/>
          </w:tblCellMar>
        </w:tblPrEx>
        <w:trPr>
          <w:trHeight w:val="1025"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Symbol" w:hAnsi="Symbol" w:eastAsia="仿宋_GB2312" w:cs="Symbol"/>
                <w:color w:val="000000"/>
                <w:sz w:val="24"/>
              </w:rPr>
            </w:pPr>
            <w:r>
              <w:rPr>
                <w:rFonts w:ascii="Symbol" w:hAnsi="Symbol" w:eastAsia="仿宋_GB2312" w:cs="Symbol"/>
                <w:color w:val="000000"/>
                <w:kern w:val="0"/>
                <w:sz w:val="24"/>
                <w:lang w:bidi="ar"/>
              </w:rPr>
              <w:t>提高公共服务群众满意度</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Style w:val="12"/>
                <w:rFonts w:hint="default" w:hAnsi="宋体"/>
                <w:lang w:bidi="ar"/>
              </w:rPr>
              <w:t>建设区级图书馆文化馆、街道（乡镇）综合文化服务中心、村（社区）书屋书吧三级服务体系。实现万人拥有公共图书馆建筑面积</w:t>
            </w:r>
            <w:r>
              <w:rPr>
                <w:rStyle w:val="12"/>
                <w:rFonts w:hint="default" w:ascii="Symbol" w:hAnsi="Symbol" w:cs="Symbol"/>
                <w:lang w:bidi="ar"/>
              </w:rPr>
              <w:t></w:t>
            </w:r>
            <w:r>
              <w:rPr>
                <w:rStyle w:val="13"/>
                <w:rFonts w:hint="default"/>
                <w:lang w:bidi="ar"/>
              </w:rPr>
              <w:t>㎡</w:t>
            </w:r>
            <w:r>
              <w:rPr>
                <w:rStyle w:val="12"/>
                <w:rFonts w:hint="default" w:hAnsi="宋体"/>
                <w:lang w:bidi="ar"/>
              </w:rPr>
              <w:t>、群众文化设施建筑面积</w:t>
            </w:r>
            <w:r>
              <w:rPr>
                <w:rStyle w:val="12"/>
                <w:rFonts w:hint="default" w:ascii="Symbol" w:hAnsi="Symbol" w:cs="Symbol"/>
                <w:lang w:bidi="ar"/>
              </w:rPr>
              <w:t></w:t>
            </w:r>
            <w:r>
              <w:rPr>
                <w:rStyle w:val="13"/>
                <w:rFonts w:hint="default"/>
                <w:lang w:bidi="ar"/>
              </w:rPr>
              <w:t>㎡</w:t>
            </w:r>
            <w:r>
              <w:rPr>
                <w:rStyle w:val="12"/>
                <w:rFonts w:hint="default" w:hAnsi="宋体"/>
                <w:lang w:bidi="ar"/>
              </w:rPr>
              <w:t>，人均公共图书馆藏量</w:t>
            </w:r>
            <w:r>
              <w:rPr>
                <w:rStyle w:val="12"/>
                <w:rFonts w:hint="default" w:ascii="Symbol" w:hAnsi="Symbol" w:cs="Symbol"/>
                <w:lang w:bidi="ar"/>
              </w:rPr>
              <w:t></w:t>
            </w:r>
            <w:r>
              <w:rPr>
                <w:rStyle w:val="12"/>
                <w:rFonts w:hint="default" w:hAnsi="宋体"/>
                <w:lang w:bidi="ar"/>
              </w:rPr>
              <w:t>册。</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市文化和旅游局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color w:val="000000"/>
                <w:sz w:val="24"/>
                <w:lang w:eastAsia="zh-CN"/>
              </w:rPr>
            </w:pPr>
            <w:r>
              <w:rPr>
                <w:rFonts w:hint="eastAsia" w:ascii="仿宋_GB2312" w:hAnsi="宋体" w:eastAsia="仿宋_GB2312" w:cs="仿宋_GB2312"/>
                <w:color w:val="000000"/>
                <w:sz w:val="24"/>
                <w:lang w:eastAsia="zh-CN"/>
              </w:rPr>
              <w:t>——</w:t>
            </w:r>
          </w:p>
        </w:tc>
      </w:tr>
      <w:tr>
        <w:tblPrEx>
          <w:tblCellMar>
            <w:top w:w="0" w:type="dxa"/>
            <w:left w:w="0" w:type="dxa"/>
            <w:bottom w:w="0" w:type="dxa"/>
            <w:right w:w="0" w:type="dxa"/>
          </w:tblCellMar>
        </w:tblPrEx>
        <w:trPr>
          <w:trHeight w:val="713"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Style w:val="12"/>
                <w:rFonts w:hint="default" w:hAnsi="宋体"/>
                <w:lang w:bidi="ar"/>
              </w:rPr>
              <w:t>体育场地面积达到</w:t>
            </w:r>
            <w:r>
              <w:rPr>
                <w:rStyle w:val="12"/>
                <w:rFonts w:hint="default" w:ascii="Symbol" w:hAnsi="Symbol" w:cs="Symbol"/>
                <w:lang w:bidi="ar"/>
              </w:rPr>
              <w:t></w:t>
            </w:r>
            <w:r>
              <w:rPr>
                <w:rStyle w:val="12"/>
                <w:rFonts w:hint="default" w:hAnsi="宋体"/>
                <w:lang w:bidi="ar"/>
              </w:rPr>
              <w:t>万</w:t>
            </w:r>
            <w:r>
              <w:rPr>
                <w:rStyle w:val="13"/>
                <w:rFonts w:hint="default"/>
                <w:lang w:bidi="ar"/>
              </w:rPr>
              <w:t>㎡</w:t>
            </w:r>
            <w:r>
              <w:rPr>
                <w:rStyle w:val="12"/>
                <w:rFonts w:hint="default" w:hAnsi="宋体"/>
                <w:lang w:bidi="ar"/>
              </w:rPr>
              <w:t>，人均场地面积</w:t>
            </w:r>
            <w:r>
              <w:rPr>
                <w:rStyle w:val="12"/>
                <w:rFonts w:hint="default" w:ascii="Symbol" w:hAnsi="Symbol" w:cs="Symbol"/>
                <w:lang w:bidi="ar"/>
              </w:rPr>
              <w:t></w:t>
            </w:r>
            <w:r>
              <w:rPr>
                <w:rStyle w:val="13"/>
                <w:rFonts w:hint="default"/>
                <w:lang w:bidi="ar"/>
              </w:rPr>
              <w:t>㎡</w:t>
            </w:r>
            <w:r>
              <w:rPr>
                <w:rStyle w:val="12"/>
                <w:rFonts w:hint="default" w:hAnsi="宋体"/>
                <w:lang w:bidi="ar"/>
              </w:rPr>
              <w:t>。大型场馆数量达到</w:t>
            </w:r>
            <w:r>
              <w:rPr>
                <w:rStyle w:val="12"/>
                <w:rFonts w:hint="default" w:ascii="Symbol" w:hAnsi="Symbol" w:cs="Symbol"/>
                <w:lang w:bidi="ar"/>
              </w:rPr>
              <w:t>家，举办群众体育活动场。</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市体育局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color w:val="000000"/>
                <w:sz w:val="24"/>
                <w:lang w:eastAsia="zh-CN"/>
              </w:rPr>
            </w:pPr>
            <w:r>
              <w:rPr>
                <w:rFonts w:hint="eastAsia" w:ascii="仿宋_GB2312" w:hAnsi="宋体" w:eastAsia="仿宋_GB2312" w:cs="仿宋_GB2312"/>
                <w:color w:val="000000"/>
                <w:sz w:val="24"/>
                <w:lang w:eastAsia="zh-CN"/>
              </w:rPr>
              <w:t>——</w:t>
            </w:r>
          </w:p>
        </w:tc>
      </w:tr>
      <w:tr>
        <w:tblPrEx>
          <w:tblCellMar>
            <w:top w:w="0" w:type="dxa"/>
            <w:left w:w="0" w:type="dxa"/>
            <w:bottom w:w="0" w:type="dxa"/>
            <w:right w:w="0" w:type="dxa"/>
          </w:tblCellMar>
        </w:tblPrEx>
        <w:trPr>
          <w:trHeight w:val="433"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根据教育部部署，按照评价组织开展的证书项目稳步推进。初步建成覆盖义务教育各学段各学科线上优质教育资源。</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市教委</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color w:val="000000"/>
                <w:sz w:val="24"/>
                <w:lang w:eastAsia="zh-CN"/>
              </w:rPr>
            </w:pPr>
            <w:r>
              <w:rPr>
                <w:rFonts w:hint="eastAsia" w:ascii="仿宋_GB2312" w:hAnsi="宋体" w:eastAsia="仿宋_GB2312" w:cs="仿宋_GB2312"/>
                <w:color w:val="000000"/>
                <w:sz w:val="24"/>
                <w:lang w:eastAsia="zh-CN"/>
              </w:rPr>
              <w:t>——</w:t>
            </w:r>
          </w:p>
        </w:tc>
      </w:tr>
      <w:tr>
        <w:tblPrEx>
          <w:tblCellMar>
            <w:top w:w="0" w:type="dxa"/>
            <w:left w:w="0" w:type="dxa"/>
            <w:bottom w:w="0" w:type="dxa"/>
            <w:right w:w="0" w:type="dxa"/>
          </w:tblCellMar>
        </w:tblPrEx>
        <w:trPr>
          <w:trHeight w:val="435"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推进全市</w:t>
            </w:r>
            <w:r>
              <w:rPr>
                <w:rFonts w:ascii="Symbol" w:hAnsi="Symbol" w:eastAsia="仿宋_GB2312" w:cs="Symbol"/>
                <w:color w:val="000000"/>
                <w:kern w:val="0"/>
                <w:sz w:val="24"/>
                <w:lang w:bidi="ar"/>
              </w:rPr>
              <w:t>家</w:t>
            </w:r>
            <w:r>
              <w:rPr>
                <w:rFonts w:hint="eastAsia" w:ascii="仿宋_GB2312" w:hAnsi="宋体" w:eastAsia="仿宋_GB2312" w:cs="仿宋_GB2312"/>
                <w:color w:val="000000"/>
                <w:kern w:val="0"/>
                <w:sz w:val="24"/>
                <w:lang w:bidi="ar"/>
              </w:rPr>
              <w:t>基层医疗卫生机构成为国家验收合格的胸痛救治单元。</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市卫生健康委</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color w:val="000000"/>
                <w:sz w:val="24"/>
                <w:lang w:eastAsia="zh-CN"/>
              </w:rPr>
            </w:pPr>
            <w:r>
              <w:rPr>
                <w:rFonts w:hint="eastAsia" w:ascii="仿宋_GB2312" w:hAnsi="宋体" w:eastAsia="仿宋_GB2312" w:cs="仿宋_GB2312"/>
                <w:color w:val="000000"/>
                <w:sz w:val="24"/>
                <w:lang w:eastAsia="zh-CN"/>
              </w:rPr>
              <w:t>——</w:t>
            </w:r>
          </w:p>
        </w:tc>
      </w:tr>
      <w:tr>
        <w:tblPrEx>
          <w:tblCellMar>
            <w:top w:w="0" w:type="dxa"/>
            <w:left w:w="0" w:type="dxa"/>
            <w:bottom w:w="0" w:type="dxa"/>
            <w:right w:w="0" w:type="dxa"/>
          </w:tblCellMar>
        </w:tblPrEx>
        <w:trPr>
          <w:trHeight w:val="387"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Symbol" w:hAnsi="Symbol" w:eastAsia="仿宋_GB2312" w:cs="Symbol"/>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出台《养老机构管理办法》实施细则。养老床位</w:t>
            </w:r>
            <w:r>
              <w:rPr>
                <w:rFonts w:ascii="Symbol" w:hAnsi="Symbol" w:eastAsia="仿宋_GB2312" w:cs="Symbol"/>
                <w:color w:val="000000"/>
                <w:kern w:val="0"/>
                <w:sz w:val="24"/>
                <w:lang w:bidi="ar"/>
              </w:rPr>
              <w:t>达到万张</w:t>
            </w:r>
            <w:r>
              <w:rPr>
                <w:rFonts w:hint="eastAsia" w:ascii="仿宋_GB2312" w:hAnsi="宋体" w:eastAsia="仿宋_GB2312" w:cs="仿宋_GB2312"/>
                <w:color w:val="000000"/>
                <w:kern w:val="0"/>
                <w:sz w:val="24"/>
                <w:lang w:bidi="ar"/>
              </w:rPr>
              <w:t>。</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市民政局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color w:val="000000"/>
                <w:sz w:val="24"/>
                <w:lang w:eastAsia="zh-CN"/>
              </w:rPr>
            </w:pPr>
            <w:r>
              <w:rPr>
                <w:rFonts w:hint="eastAsia" w:ascii="仿宋_GB2312" w:hAnsi="宋体" w:eastAsia="仿宋_GB2312" w:cs="仿宋_GB2312"/>
                <w:color w:val="000000"/>
                <w:sz w:val="24"/>
                <w:lang w:eastAsia="zh-CN"/>
              </w:rPr>
              <w:t>——</w:t>
            </w:r>
          </w:p>
        </w:tc>
      </w:tr>
      <w:tr>
        <w:tblPrEx>
          <w:tblCellMar>
            <w:top w:w="0" w:type="dxa"/>
            <w:left w:w="0" w:type="dxa"/>
            <w:bottom w:w="0" w:type="dxa"/>
            <w:right w:w="0" w:type="dxa"/>
          </w:tblCellMar>
        </w:tblPrEx>
        <w:trPr>
          <w:trHeight w:val="874"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Symbol" w:hAnsi="Symbol" w:eastAsia="仿宋_GB2312" w:cs="Symbol"/>
                <w:color w:val="000000"/>
                <w:sz w:val="24"/>
              </w:rPr>
            </w:pPr>
            <w:r>
              <w:rPr>
                <w:rFonts w:ascii="Symbol" w:hAnsi="Symbol" w:eastAsia="仿宋_GB2312" w:cs="Symbol"/>
                <w:color w:val="000000"/>
                <w:kern w:val="0"/>
                <w:sz w:val="24"/>
                <w:lang w:bidi="ar"/>
              </w:rPr>
              <w:t>持续加强生态环境保护</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加快推进钢铁企业超低排放改造，持续推动挥发性有机物治理，全面开展绩效分级差异化管控，有效应对重污染天气。PM</w:t>
            </w:r>
            <w:r>
              <w:rPr>
                <w:rFonts w:ascii="Symbol" w:hAnsi="Symbol" w:eastAsia="仿宋_GB2312" w:cs="Symbol"/>
                <w:color w:val="000000"/>
                <w:kern w:val="0"/>
                <w:sz w:val="24"/>
                <w:lang w:bidi="ar"/>
              </w:rPr>
              <w:t></w:t>
            </w:r>
            <w:r>
              <w:rPr>
                <w:rFonts w:hint="eastAsia" w:ascii="仿宋_GB2312" w:hAnsi="宋体" w:eastAsia="仿宋_GB2312" w:cs="仿宋_GB2312"/>
                <w:color w:val="000000"/>
                <w:kern w:val="0"/>
                <w:sz w:val="24"/>
                <w:lang w:bidi="ar"/>
              </w:rPr>
              <w:t>年均浓度达到国家下达的改善目标。</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市生态环境局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市级有关单位，各区人民政府</w:t>
            </w:r>
          </w:p>
        </w:tc>
      </w:tr>
      <w:tr>
        <w:tblPrEx>
          <w:tblCellMar>
            <w:top w:w="0" w:type="dxa"/>
            <w:left w:w="0" w:type="dxa"/>
            <w:bottom w:w="0" w:type="dxa"/>
            <w:right w:w="0" w:type="dxa"/>
          </w:tblCellMar>
        </w:tblPrEx>
        <w:trPr>
          <w:trHeight w:val="90"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实施土壤污染状况调查报告、风险评估报告、风险管控（修复）效果评估报告评审机制，更新发布建设用地土壤污染风险管控和修复名录。</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市生态环境局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市规划资源局</w:t>
            </w:r>
          </w:p>
        </w:tc>
      </w:tr>
      <w:tr>
        <w:tblPrEx>
          <w:tblCellMar>
            <w:top w:w="0" w:type="dxa"/>
            <w:left w:w="0" w:type="dxa"/>
            <w:bottom w:w="0" w:type="dxa"/>
            <w:right w:w="0" w:type="dxa"/>
          </w:tblCellMar>
        </w:tblPrEx>
        <w:trPr>
          <w:trHeight w:val="983"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加快工业、城镇、农业农村污染源治理，推进城镇污水管网全覆盖，实施城镇污水处理厂提质增效。强化流域水环境管理，继续实施区域水环境监测、排名、奖惩，持续改善水生态环境。</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24"/>
                <w:lang w:bidi="ar"/>
              </w:rPr>
            </w:pPr>
            <w:r>
              <w:rPr>
                <w:rFonts w:hint="eastAsia" w:ascii="仿宋_GB2312" w:hAnsi="宋体" w:eastAsia="仿宋_GB2312" w:cs="仿宋_GB2312"/>
                <w:color w:val="000000"/>
                <w:kern w:val="0"/>
                <w:sz w:val="24"/>
                <w:lang w:bidi="ar"/>
              </w:rPr>
              <w:t>市生态环境局</w:t>
            </w:r>
          </w:p>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市水务局</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市住房城乡建设委、市农业农村委、各区人民政府</w:t>
            </w:r>
          </w:p>
        </w:tc>
      </w:tr>
      <w:tr>
        <w:tblPrEx>
          <w:tblCellMar>
            <w:top w:w="0" w:type="dxa"/>
            <w:left w:w="0" w:type="dxa"/>
            <w:bottom w:w="0" w:type="dxa"/>
            <w:right w:w="0" w:type="dxa"/>
          </w:tblCellMar>
        </w:tblPrEx>
        <w:trPr>
          <w:trHeight w:val="489"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序号</w:t>
            </w:r>
          </w:p>
        </w:tc>
        <w:tc>
          <w:tcPr>
            <w:tcW w:w="11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重点任务</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改革措施</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牵头单位</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责任单位</w:t>
            </w:r>
          </w:p>
        </w:tc>
      </w:tr>
      <w:tr>
        <w:tblPrEx>
          <w:tblCellMar>
            <w:top w:w="0" w:type="dxa"/>
            <w:left w:w="0" w:type="dxa"/>
            <w:bottom w:w="0" w:type="dxa"/>
            <w:right w:w="0" w:type="dxa"/>
          </w:tblCellMar>
        </w:tblPrEx>
        <w:trPr>
          <w:trHeight w:val="834"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Symbol" w:hAnsi="Symbol" w:eastAsia="仿宋_GB2312" w:cs="Symbol"/>
                <w:color w:val="000000"/>
                <w:sz w:val="24"/>
              </w:rPr>
            </w:pPr>
            <w:r>
              <w:rPr>
                <w:rFonts w:ascii="Symbol" w:hAnsi="Symbol" w:eastAsia="仿宋_GB2312" w:cs="Symbol"/>
                <w:color w:val="000000"/>
                <w:kern w:val="0"/>
                <w:sz w:val="24"/>
                <w:lang w:bidi="ar"/>
              </w:rPr>
              <w:t>提升城市综合立体交通便利度</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Symbol" w:hAnsi="Symbol" w:eastAsia="仿宋_GB2312" w:cs="Symbol"/>
                <w:color w:val="000000"/>
                <w:sz w:val="24"/>
              </w:rPr>
            </w:pPr>
            <w:r>
              <w:rPr>
                <w:rFonts w:ascii="Symbol" w:hAnsi="Symbol" w:eastAsia="仿宋_GB2312" w:cs="Symbol"/>
                <w:color w:val="000000"/>
                <w:kern w:val="0"/>
                <w:sz w:val="24"/>
                <w:lang w:bidi="ar"/>
              </w:rPr>
              <w:t>完善城市公交线网结构，新增优化公交线路条。</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市交通运输委</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市发展改革委、市规划资源局、市住房城乡建设委</w:t>
            </w:r>
          </w:p>
        </w:tc>
      </w:tr>
      <w:tr>
        <w:tblPrEx>
          <w:tblCellMar>
            <w:top w:w="0" w:type="dxa"/>
            <w:left w:w="0" w:type="dxa"/>
            <w:bottom w:w="0" w:type="dxa"/>
            <w:right w:w="0" w:type="dxa"/>
          </w:tblCellMar>
        </w:tblPrEx>
        <w:trPr>
          <w:trHeight w:val="790"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Symbol" w:hAnsi="Symbol" w:eastAsia="仿宋_GB2312" w:cs="Symbol"/>
                <w:color w:val="000000"/>
                <w:sz w:val="24"/>
              </w:rPr>
            </w:pPr>
            <w:r>
              <w:rPr>
                <w:rFonts w:ascii="Symbol" w:hAnsi="Symbol" w:eastAsia="仿宋_GB2312" w:cs="Symbol"/>
                <w:color w:val="000000"/>
                <w:kern w:val="0"/>
                <w:sz w:val="24"/>
                <w:lang w:bidi="ar"/>
              </w:rPr>
              <w:t>加快推进地铁线路建设，地铁号线南段工程投入运营。</w:t>
            </w:r>
          </w:p>
        </w:tc>
        <w:tc>
          <w:tcPr>
            <w:tcW w:w="26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24"/>
                <w:lang w:bidi="ar"/>
              </w:rPr>
            </w:pPr>
            <w:r>
              <w:rPr>
                <w:rFonts w:hint="eastAsia" w:ascii="仿宋_GB2312" w:hAnsi="宋体" w:eastAsia="仿宋_GB2312" w:cs="仿宋_GB2312"/>
                <w:color w:val="000000"/>
                <w:kern w:val="0"/>
                <w:sz w:val="24"/>
                <w:lang w:bidi="ar"/>
              </w:rPr>
              <w:t>市住房城乡建设委</w:t>
            </w:r>
          </w:p>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市交通运输委</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市规划资源局</w:t>
            </w:r>
            <w:r>
              <w:rPr>
                <w:rFonts w:hint="eastAsia" w:ascii="仿宋_GB2312" w:hAnsi="宋体" w:eastAsia="仿宋_GB2312" w:cs="仿宋_GB2312"/>
                <w:color w:val="000000"/>
                <w:kern w:val="0"/>
                <w:sz w:val="24"/>
                <w:highlight w:val="none"/>
                <w:lang w:bidi="ar"/>
              </w:rPr>
              <w:t>等有关单位</w:t>
            </w:r>
            <w:r>
              <w:rPr>
                <w:rFonts w:hint="eastAsia" w:ascii="仿宋_GB2312" w:hAnsi="宋体" w:eastAsia="仿宋_GB2312" w:cs="仿宋_GB2312"/>
                <w:color w:val="000000"/>
                <w:kern w:val="0"/>
                <w:sz w:val="24"/>
                <w:lang w:bidi="ar"/>
              </w:rPr>
              <w:t>，相关区人民政府</w:t>
            </w:r>
          </w:p>
        </w:tc>
      </w:tr>
      <w:tr>
        <w:tblPrEx>
          <w:tblCellMar>
            <w:top w:w="0" w:type="dxa"/>
            <w:left w:w="0" w:type="dxa"/>
            <w:bottom w:w="0" w:type="dxa"/>
            <w:right w:w="0" w:type="dxa"/>
          </w:tblCellMar>
        </w:tblPrEx>
        <w:trPr>
          <w:trHeight w:val="860"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Symbol" w:hAnsi="Symbol" w:eastAsia="宋体" w:cs="Symbol"/>
                <w:color w:val="000000"/>
                <w:sz w:val="24"/>
              </w:rPr>
            </w:pPr>
            <w:r>
              <w:rPr>
                <w:rFonts w:ascii="Symbol" w:hAnsi="Symbol" w:eastAsia="宋体" w:cs="Symbol"/>
                <w:color w:val="000000"/>
                <w:kern w:val="0"/>
                <w:sz w:val="24"/>
                <w:lang w:bidi="ar"/>
              </w:rPr>
              <w:t></w:t>
            </w: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4"/>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进一步加快建设“轨道上的京津冀”，持续建设京唐、京滨铁路、津兴铁路。</w:t>
            </w:r>
          </w:p>
        </w:tc>
        <w:tc>
          <w:tcPr>
            <w:tcW w:w="2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市交通运输委</w:t>
            </w:r>
          </w:p>
        </w:tc>
        <w:tc>
          <w:tcPr>
            <w:tcW w:w="35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市发展改革委、市规划资源局、市住房城乡建设委，相关区人民政府</w:t>
            </w:r>
          </w:p>
        </w:tc>
      </w:tr>
    </w:tbl>
    <w:p>
      <w:pPr>
        <w:pStyle w:val="6"/>
        <w:shd w:val="clear" w:color="auto" w:fill="FFFFFF"/>
        <w:spacing w:before="0" w:beforeAutospacing="0" w:after="0" w:afterAutospacing="0" w:line="560" w:lineRule="exact"/>
        <w:ind w:firstLine="640" w:firstLineChars="200"/>
        <w:jc w:val="center"/>
        <w:rPr>
          <w:rFonts w:ascii="仿宋_GB2312" w:eastAsia="仿宋_GB2312"/>
          <w:color w:val="000000" w:themeColor="text1"/>
          <w:sz w:val="32"/>
          <w:szCs w:val="32"/>
          <w14:textFill>
            <w14:solidFill>
              <w14:schemeClr w14:val="tx1"/>
            </w14:solidFill>
          </w14:textFill>
        </w:rPr>
      </w:pPr>
    </w:p>
    <w:p>
      <w:pPr>
        <w:pStyle w:val="6"/>
        <w:shd w:val="clear" w:color="auto" w:fill="FFFFFF"/>
        <w:spacing w:before="0" w:beforeAutospacing="0" w:after="0" w:afterAutospacing="0" w:line="560" w:lineRule="exact"/>
        <w:ind w:firstLine="640" w:firstLineChars="200"/>
        <w:jc w:val="center"/>
        <w:rPr>
          <w:rFonts w:ascii="仿宋_GB2312" w:eastAsia="仿宋_GB2312"/>
          <w:color w:val="000000" w:themeColor="text1"/>
          <w:sz w:val="32"/>
          <w:szCs w:val="32"/>
          <w14:textFill>
            <w14:solidFill>
              <w14:schemeClr w14:val="tx1"/>
            </w14:solidFill>
          </w14:textFill>
        </w:rPr>
      </w:pPr>
    </w:p>
    <w:p>
      <w:pPr>
        <w:adjustRightInd w:val="0"/>
        <w:snapToGrid w:val="0"/>
        <w:spacing w:line="579" w:lineRule="atLeast"/>
        <w:rPr>
          <w:rFonts w:ascii="仿宋_GB2312" w:hAnsi="Calibri" w:eastAsia="仿宋_GB2312" w:cs="Times New Roman"/>
          <w:sz w:val="32"/>
          <w:szCs w:val="32"/>
        </w:rPr>
      </w:pPr>
    </w:p>
    <w:p>
      <w:pPr>
        <w:pStyle w:val="2"/>
        <w:rPr>
          <w:rFonts w:ascii="仿宋_GB2312" w:hAnsi="Calibri" w:eastAsia="仿宋_GB2312" w:cs="Times New Roman"/>
          <w:sz w:val="32"/>
          <w:szCs w:val="32"/>
        </w:rPr>
      </w:pPr>
    </w:p>
    <w:p>
      <w:pPr>
        <w:pStyle w:val="2"/>
        <w:rPr>
          <w:rFonts w:ascii="仿宋_GB2312" w:hAnsi="Calibri" w:eastAsia="仿宋_GB2312" w:cs="Times New Roman"/>
          <w:sz w:val="32"/>
          <w:szCs w:val="32"/>
        </w:rPr>
        <w:sectPr>
          <w:footerReference r:id="rId4" w:type="default"/>
          <w:pgSz w:w="16838" w:h="11906" w:orient="landscape"/>
          <w:pgMar w:top="1588" w:right="2098" w:bottom="1474" w:left="1985" w:header="851" w:footer="992" w:gutter="0"/>
          <w:pgNumType w:fmt="numberInDash"/>
          <w:cols w:space="425" w:num="1"/>
          <w:docGrid w:type="lines" w:linePitch="312" w:charSpace="0"/>
        </w:sectPr>
      </w:pPr>
    </w:p>
    <w:p>
      <w:pPr>
        <w:pStyle w:val="2"/>
        <w:rPr>
          <w:rFonts w:ascii="仿宋_GB2312" w:hAnsi="Calibri" w:eastAsia="仿宋_GB2312" w:cs="Times New Roman"/>
          <w:sz w:val="32"/>
          <w:szCs w:val="32"/>
        </w:rPr>
      </w:pPr>
    </w:p>
    <w:p>
      <w:pPr>
        <w:pStyle w:val="2"/>
        <w:rPr>
          <w:rFonts w:ascii="仿宋_GB2312" w:hAnsi="Calibri" w:eastAsia="仿宋_GB2312" w:cs="Times New Roman"/>
          <w:sz w:val="32"/>
          <w:szCs w:val="32"/>
        </w:rPr>
      </w:pPr>
    </w:p>
    <w:p>
      <w:pPr>
        <w:pStyle w:val="2"/>
        <w:rPr>
          <w:rFonts w:ascii="仿宋_GB2312" w:hAnsi="Calibri" w:eastAsia="仿宋_GB2312" w:cs="Times New Roman"/>
          <w:sz w:val="32"/>
          <w:szCs w:val="32"/>
        </w:rPr>
      </w:pPr>
    </w:p>
    <w:p>
      <w:pPr>
        <w:pStyle w:val="2"/>
        <w:rPr>
          <w:rFonts w:ascii="仿宋_GB2312" w:hAnsi="Calibri" w:eastAsia="仿宋_GB2312" w:cs="Times New Roman"/>
          <w:sz w:val="32"/>
          <w:szCs w:val="32"/>
        </w:rPr>
      </w:pPr>
    </w:p>
    <w:p>
      <w:pPr>
        <w:pStyle w:val="2"/>
        <w:rPr>
          <w:rFonts w:ascii="仿宋_GB2312" w:hAnsi="Calibri" w:eastAsia="仿宋_GB2312" w:cs="Times New Roman"/>
          <w:sz w:val="32"/>
          <w:szCs w:val="32"/>
        </w:rPr>
      </w:pPr>
    </w:p>
    <w:p>
      <w:pPr>
        <w:pStyle w:val="2"/>
        <w:rPr>
          <w:rFonts w:ascii="仿宋_GB2312" w:hAnsi="Calibri" w:eastAsia="仿宋_GB2312" w:cs="Times New Roman"/>
          <w:sz w:val="32"/>
          <w:szCs w:val="32"/>
        </w:rPr>
      </w:pPr>
    </w:p>
    <w:p>
      <w:pPr>
        <w:pStyle w:val="2"/>
        <w:rPr>
          <w:rFonts w:ascii="仿宋_GB2312" w:hAnsi="Calibri" w:eastAsia="仿宋_GB2312" w:cs="Times New Roman"/>
          <w:sz w:val="32"/>
          <w:szCs w:val="32"/>
        </w:rPr>
      </w:pPr>
    </w:p>
    <w:p>
      <w:pPr>
        <w:pStyle w:val="2"/>
        <w:rPr>
          <w:rFonts w:ascii="仿宋_GB2312" w:hAnsi="Calibri" w:eastAsia="仿宋_GB2312" w:cs="Times New Roman"/>
          <w:sz w:val="32"/>
          <w:szCs w:val="32"/>
        </w:rPr>
      </w:pPr>
    </w:p>
    <w:p>
      <w:pPr>
        <w:pStyle w:val="2"/>
        <w:rPr>
          <w:rFonts w:ascii="仿宋_GB2312" w:hAnsi="Calibri" w:eastAsia="仿宋_GB2312" w:cs="Times New Roman"/>
          <w:sz w:val="32"/>
          <w:szCs w:val="32"/>
        </w:rPr>
      </w:pPr>
    </w:p>
    <w:p>
      <w:pPr>
        <w:pStyle w:val="2"/>
        <w:rPr>
          <w:rFonts w:ascii="仿宋_GB2312" w:hAnsi="Calibri" w:eastAsia="仿宋_GB2312" w:cs="Times New Roman"/>
          <w:sz w:val="32"/>
          <w:szCs w:val="32"/>
        </w:rPr>
      </w:pPr>
    </w:p>
    <w:p>
      <w:pPr>
        <w:pStyle w:val="2"/>
        <w:rPr>
          <w:rFonts w:ascii="仿宋_GB2312" w:hAnsi="Calibri" w:eastAsia="仿宋_GB2312" w:cs="Times New Roman"/>
          <w:sz w:val="32"/>
          <w:szCs w:val="32"/>
        </w:rPr>
      </w:pPr>
    </w:p>
    <w:p>
      <w:pPr>
        <w:pStyle w:val="2"/>
        <w:rPr>
          <w:rFonts w:ascii="仿宋_GB2312" w:hAnsi="Calibri" w:eastAsia="仿宋_GB2312" w:cs="Times New Roman"/>
          <w:sz w:val="32"/>
          <w:szCs w:val="32"/>
        </w:rPr>
      </w:pPr>
    </w:p>
    <w:p>
      <w:pPr>
        <w:pStyle w:val="2"/>
        <w:rPr>
          <w:rFonts w:ascii="仿宋_GB2312" w:hAnsi="Calibri" w:eastAsia="仿宋_GB2312" w:cs="Times New Roman"/>
          <w:sz w:val="32"/>
          <w:szCs w:val="32"/>
        </w:rPr>
      </w:pPr>
    </w:p>
    <w:p>
      <w:pPr>
        <w:pStyle w:val="2"/>
        <w:rPr>
          <w:rFonts w:ascii="仿宋_GB2312" w:hAnsi="Calibri" w:eastAsia="仿宋_GB2312" w:cs="Times New Roman"/>
          <w:sz w:val="32"/>
          <w:szCs w:val="32"/>
        </w:rPr>
      </w:pPr>
    </w:p>
    <w:p>
      <w:pPr>
        <w:pStyle w:val="2"/>
        <w:rPr>
          <w:rFonts w:ascii="仿宋_GB2312" w:hAnsi="Calibri" w:eastAsia="仿宋_GB2312" w:cs="Times New Roman"/>
          <w:sz w:val="32"/>
          <w:szCs w:val="32"/>
        </w:rPr>
      </w:pPr>
    </w:p>
    <w:p>
      <w:pPr>
        <w:pStyle w:val="2"/>
        <w:rPr>
          <w:rFonts w:ascii="仿宋_GB2312" w:hAnsi="Calibri" w:eastAsia="仿宋_GB2312" w:cs="Times New Roman"/>
          <w:sz w:val="32"/>
          <w:szCs w:val="32"/>
        </w:rPr>
      </w:pPr>
    </w:p>
    <w:p>
      <w:pPr>
        <w:pStyle w:val="2"/>
        <w:rPr>
          <w:rFonts w:ascii="仿宋_GB2312" w:hAnsi="Calibri" w:eastAsia="仿宋_GB2312" w:cs="Times New Roman"/>
          <w:sz w:val="32"/>
          <w:szCs w:val="32"/>
        </w:rPr>
      </w:pPr>
    </w:p>
    <w:p>
      <w:pPr>
        <w:pStyle w:val="2"/>
        <w:rPr>
          <w:rFonts w:ascii="仿宋_GB2312" w:hAnsi="Calibri" w:eastAsia="仿宋_GB2312" w:cs="Times New Roman"/>
          <w:sz w:val="32"/>
          <w:szCs w:val="32"/>
        </w:rPr>
      </w:pPr>
    </w:p>
    <w:p>
      <w:pPr>
        <w:pStyle w:val="2"/>
        <w:rPr>
          <w:rFonts w:ascii="仿宋_GB2312" w:hAnsi="Calibri" w:eastAsia="仿宋_GB2312" w:cs="Times New Roman"/>
          <w:sz w:val="32"/>
          <w:szCs w:val="32"/>
        </w:rPr>
      </w:pPr>
    </w:p>
    <w:p>
      <w:pPr>
        <w:pStyle w:val="2"/>
        <w:rPr>
          <w:rFonts w:ascii="仿宋_GB2312" w:hAnsi="Calibri" w:eastAsia="仿宋_GB2312" w:cs="Times New Roman"/>
          <w:sz w:val="32"/>
          <w:szCs w:val="32"/>
        </w:rPr>
      </w:pPr>
    </w:p>
    <w:p>
      <w:pPr>
        <w:pStyle w:val="2"/>
        <w:spacing w:line="579" w:lineRule="exact"/>
        <w:rPr>
          <w:rFonts w:ascii="仿宋_GB2312" w:hAnsi="Calibri" w:eastAsia="仿宋_GB2312" w:cs="Times New Roman"/>
          <w:sz w:val="32"/>
          <w:szCs w:val="32"/>
        </w:rPr>
      </w:pPr>
    </w:p>
    <w:p>
      <w:pPr>
        <w:pStyle w:val="2"/>
        <w:spacing w:line="579" w:lineRule="exact"/>
        <w:rPr>
          <w:rFonts w:ascii="仿宋_GB2312" w:hAnsi="Calibri" w:eastAsia="仿宋_GB2312" w:cs="Times New Roman"/>
          <w:sz w:val="32"/>
          <w:szCs w:val="32"/>
        </w:rPr>
      </w:pPr>
    </w:p>
    <w:p>
      <w:pPr>
        <w:pStyle w:val="2"/>
        <w:spacing w:line="579" w:lineRule="exact"/>
        <w:rPr>
          <w:rFonts w:ascii="仿宋_GB2312" w:hAnsi="Calibri" w:eastAsia="仿宋_GB2312" w:cs="Times New Roman"/>
          <w:sz w:val="32"/>
          <w:szCs w:val="32"/>
        </w:rPr>
      </w:pPr>
    </w:p>
    <w:p>
      <w:pPr>
        <w:pStyle w:val="2"/>
        <w:spacing w:line="579" w:lineRule="exact"/>
        <w:rPr>
          <w:rFonts w:ascii="仿宋_GB2312" w:hAnsi="Calibri" w:eastAsia="仿宋_GB2312" w:cs="Times New Roman"/>
          <w:sz w:val="32"/>
          <w:szCs w:val="32"/>
        </w:rPr>
      </w:pPr>
    </w:p>
    <w:p>
      <w:pPr>
        <w:pStyle w:val="2"/>
        <w:spacing w:line="579" w:lineRule="exact"/>
        <w:rPr>
          <w:rFonts w:ascii="仿宋_GB2312" w:hAnsi="Calibri" w:eastAsia="仿宋_GB2312" w:cs="Times New Roman"/>
          <w:sz w:val="32"/>
          <w:szCs w:val="32"/>
        </w:rPr>
      </w:pPr>
    </w:p>
    <w:p>
      <w:pPr>
        <w:pStyle w:val="2"/>
        <w:spacing w:line="579" w:lineRule="exact"/>
        <w:rPr>
          <w:rFonts w:ascii="仿宋_GB2312" w:hAnsi="Calibri" w:eastAsia="仿宋_GB2312" w:cs="Times New Roman"/>
          <w:sz w:val="32"/>
          <w:szCs w:val="32"/>
        </w:rPr>
      </w:pPr>
    </w:p>
    <w:p>
      <w:pPr>
        <w:pStyle w:val="2"/>
        <w:spacing w:line="579" w:lineRule="exact"/>
        <w:rPr>
          <w:rFonts w:ascii="仿宋_GB2312" w:hAnsi="Calibri" w:eastAsia="仿宋_GB2312" w:cs="Times New Roman"/>
          <w:sz w:val="32"/>
          <w:szCs w:val="32"/>
        </w:rPr>
      </w:pPr>
    </w:p>
    <w:p>
      <w:pPr>
        <w:pStyle w:val="2"/>
        <w:spacing w:line="579" w:lineRule="exact"/>
        <w:rPr>
          <w:rFonts w:ascii="仿宋_GB2312" w:hAnsi="Calibri" w:eastAsia="仿宋_GB2312" w:cs="Times New Roman"/>
          <w:sz w:val="32"/>
          <w:szCs w:val="32"/>
        </w:rPr>
      </w:pPr>
    </w:p>
    <w:p>
      <w:pPr>
        <w:pStyle w:val="2"/>
        <w:spacing w:line="579" w:lineRule="exact"/>
        <w:rPr>
          <w:rFonts w:ascii="仿宋_GB2312" w:hAnsi="Calibri" w:eastAsia="仿宋_GB2312" w:cs="Times New Roman"/>
          <w:sz w:val="32"/>
          <w:szCs w:val="32"/>
        </w:rPr>
      </w:pPr>
    </w:p>
    <w:p>
      <w:pPr>
        <w:pStyle w:val="2"/>
        <w:spacing w:line="579" w:lineRule="exact"/>
        <w:rPr>
          <w:rFonts w:ascii="仿宋_GB2312" w:hAnsi="Calibri" w:eastAsia="仿宋_GB2312" w:cs="Times New Roman"/>
          <w:sz w:val="32"/>
          <w:szCs w:val="32"/>
        </w:rPr>
      </w:pPr>
    </w:p>
    <w:p>
      <w:pPr>
        <w:pStyle w:val="2"/>
        <w:spacing w:line="579" w:lineRule="exact"/>
        <w:rPr>
          <w:rFonts w:ascii="仿宋_GB2312" w:hAnsi="Calibri" w:eastAsia="仿宋_GB2312" w:cs="Times New Roman"/>
          <w:sz w:val="32"/>
          <w:szCs w:val="32"/>
        </w:rPr>
      </w:pPr>
    </w:p>
    <w:p>
      <w:pPr>
        <w:pStyle w:val="2"/>
        <w:spacing w:line="579" w:lineRule="exact"/>
        <w:rPr>
          <w:rFonts w:ascii="仿宋_GB2312" w:hAnsi="Calibri" w:eastAsia="仿宋_GB2312" w:cs="Times New Roman"/>
          <w:sz w:val="32"/>
          <w:szCs w:val="32"/>
        </w:rPr>
      </w:pPr>
    </w:p>
    <w:p>
      <w:pPr>
        <w:pStyle w:val="2"/>
        <w:spacing w:line="579" w:lineRule="exact"/>
        <w:rPr>
          <w:rFonts w:ascii="仿宋_GB2312" w:hAnsi="Calibri" w:eastAsia="仿宋_GB2312" w:cs="Times New Roman"/>
          <w:sz w:val="32"/>
          <w:szCs w:val="32"/>
        </w:rPr>
      </w:pPr>
    </w:p>
    <w:p>
      <w:pPr>
        <w:pStyle w:val="2"/>
        <w:spacing w:line="579" w:lineRule="exact"/>
        <w:rPr>
          <w:rFonts w:ascii="仿宋_GB2312" w:hAnsi="Calibri" w:eastAsia="仿宋_GB2312" w:cs="Times New Roman"/>
          <w:sz w:val="32"/>
          <w:szCs w:val="32"/>
        </w:rPr>
      </w:pPr>
    </w:p>
    <w:p>
      <w:pPr>
        <w:pStyle w:val="2"/>
        <w:spacing w:line="579" w:lineRule="exact"/>
        <w:rPr>
          <w:rFonts w:ascii="仿宋_GB2312" w:hAnsi="Calibri" w:eastAsia="仿宋_GB2312" w:cs="Times New Roman"/>
          <w:sz w:val="32"/>
          <w:szCs w:val="32"/>
        </w:rPr>
      </w:pPr>
    </w:p>
    <w:p>
      <w:pPr>
        <w:pStyle w:val="2"/>
        <w:spacing w:line="579" w:lineRule="exact"/>
        <w:rPr>
          <w:rFonts w:ascii="仿宋_GB2312" w:hAnsi="Calibri" w:eastAsia="仿宋_GB2312" w:cs="Times New Roman"/>
          <w:sz w:val="32"/>
          <w:szCs w:val="32"/>
        </w:rPr>
      </w:pPr>
    </w:p>
    <w:p>
      <w:pPr>
        <w:pStyle w:val="2"/>
        <w:spacing w:line="579" w:lineRule="exact"/>
        <w:rPr>
          <w:rFonts w:ascii="仿宋_GB2312" w:hAnsi="Calibri" w:eastAsia="仿宋_GB2312" w:cs="Times New Roman"/>
          <w:sz w:val="32"/>
          <w:szCs w:val="32"/>
        </w:rPr>
      </w:pPr>
    </w:p>
    <w:p>
      <w:pPr>
        <w:pStyle w:val="2"/>
        <w:spacing w:line="579" w:lineRule="exact"/>
        <w:ind w:firstLine="0" w:firstLineChars="0"/>
        <w:rPr>
          <w:rFonts w:ascii="仿宋_GB2312" w:hAnsi="Calibri" w:eastAsia="仿宋_GB2312" w:cs="Times New Roman"/>
          <w:sz w:val="32"/>
          <w:szCs w:val="32"/>
        </w:rPr>
      </w:pPr>
    </w:p>
    <w:p>
      <w:pPr>
        <w:pStyle w:val="2"/>
        <w:spacing w:line="579" w:lineRule="exact"/>
        <w:ind w:firstLine="0" w:firstLineChars="0"/>
        <w:rPr>
          <w:rFonts w:ascii="仿宋_GB2312" w:hAnsi="Calibri" w:eastAsia="仿宋_GB2312" w:cs="Times New Roman"/>
          <w:sz w:val="32"/>
          <w:szCs w:val="32"/>
        </w:rPr>
      </w:pPr>
    </w:p>
    <w:p>
      <w:pPr>
        <w:pStyle w:val="2"/>
        <w:spacing w:line="579" w:lineRule="exact"/>
        <w:ind w:firstLine="0" w:firstLineChars="0"/>
        <w:rPr>
          <w:rFonts w:ascii="仿宋_GB2312" w:hAnsi="Calibri" w:eastAsia="仿宋_GB2312" w:cs="Times New Roman"/>
          <w:sz w:val="32"/>
          <w:szCs w:val="32"/>
        </w:rPr>
      </w:pP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9" w:lineRule="exact"/>
        <w:ind w:firstLine="640" w:firstLineChars="200"/>
        <w:jc w:val="center"/>
        <w:textAlignment w:val="auto"/>
        <w:rPr>
          <w:rFonts w:hint="default" w:ascii="仿宋_GB2312" w:eastAsia="仿宋_GB2312"/>
          <w:color w:val="000000" w:themeColor="text1"/>
          <w:sz w:val="32"/>
          <w:szCs w:val="32"/>
          <w:lang w:val="en-US" w:eastAsia="zh-CN"/>
          <w14:textFill>
            <w14:solidFill>
              <w14:schemeClr w14:val="tx1"/>
            </w14:solidFill>
          </w14:textFill>
        </w:rPr>
      </w:pPr>
    </w:p>
    <w:p>
      <w:pPr>
        <w:adjustRightInd w:val="0"/>
        <w:snapToGrid w:val="0"/>
        <w:spacing w:line="579" w:lineRule="atLeast"/>
        <w:ind w:firstLine="130" w:firstLineChars="50"/>
        <w:rPr>
          <w:rFonts w:ascii="仿宋_GB2312" w:hAnsi="Calibri" w:eastAsia="仿宋_GB2312" w:cs="Times New Roman"/>
          <w:sz w:val="32"/>
          <w:szCs w:val="32"/>
        </w:rPr>
      </w:pPr>
      <w:r>
        <w:rPr>
          <w:rFonts w:ascii="仿宋_GB2312" w:hAnsi="Times New Roman" w:eastAsia="仿宋_GB2312" w:cs="Times New Roman"/>
          <w:spacing w:val="-10"/>
          <w:sz w:val="28"/>
          <w:szCs w:val="28"/>
        </w:rPr>
        <mc:AlternateContent>
          <mc:Choice Requires="wps">
            <w:drawing>
              <wp:anchor distT="0" distB="0" distL="114300" distR="114300" simplePos="0" relativeHeight="251669504" behindDoc="0" locked="0" layoutInCell="1" allowOverlap="1">
                <wp:simplePos x="0" y="0"/>
                <wp:positionH relativeFrom="column">
                  <wp:posOffset>0</wp:posOffset>
                </wp:positionH>
                <wp:positionV relativeFrom="paragraph">
                  <wp:posOffset>34925</wp:posOffset>
                </wp:positionV>
                <wp:extent cx="5600700" cy="0"/>
                <wp:effectExtent l="0" t="0" r="0" b="0"/>
                <wp:wrapNone/>
                <wp:docPr id="6" name="直接连接符 6"/>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0pt;margin-top:2.75pt;height:0pt;width:441pt;z-index:251669504;mso-width-relative:page;mso-height-relative:page;" filled="f" stroked="t" coordsize="21600,21600" o:gfxdata="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OvwPk/TAAAABAEAAA8AAAAA&#10;AAAAAQAgAAAAIgAAAGRycy9kb3ducmV2LnhtbFBLAQIUABQAAAAIAIdO4kDx4TpP4AEAAKsDAAAO&#10;AAAAAAAAAAEAIAAAACIBAABkcnMvZTJvRG9jLnhtbFBLBQYAAAAABgAGAFkBAAB0BQAAAAA=&#10;">
                <v:fill on="f" focussize="0,0"/>
                <v:stroke weight="1pt" color="#000000" joinstyle="round"/>
                <v:imagedata o:title=""/>
                <o:lock v:ext="edit" aspectratio="f"/>
              </v:line>
            </w:pict>
          </mc:Fallback>
        </mc:AlternateContent>
      </w:r>
      <w:r>
        <w:rPr>
          <w:rFonts w:ascii="仿宋_GB2312" w:hAnsi="Times New Roman" w:eastAsia="仿宋_GB2312" w:cs="Times New Roman"/>
          <w:spacing w:val="-10"/>
          <w:sz w:val="28"/>
          <w:szCs w:val="28"/>
        </w:rP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396240</wp:posOffset>
                </wp:positionV>
                <wp:extent cx="5600700" cy="0"/>
                <wp:effectExtent l="0" t="9525" r="0" b="9525"/>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19050">
                          <a:solidFill>
                            <a:srgbClr val="000000"/>
                          </a:solidFill>
                          <a:round/>
                        </a:ln>
                      </wps:spPr>
                      <wps:bodyPr/>
                    </wps:wsp>
                  </a:graphicData>
                </a:graphic>
              </wp:anchor>
            </w:drawing>
          </mc:Choice>
          <mc:Fallback>
            <w:pict>
              <v:line id="_x0000_s1026" o:spid="_x0000_s1026" o:spt="20" style="position:absolute;left:0pt;margin-left:0pt;margin-top:31.2pt;height:0pt;width:441pt;z-index:251667456;mso-width-relative:page;mso-height-relative:page;" filled="f" stroked="t" coordsize="21600,21600" o:gfxdata="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GX1s7/SAAAABgEAAA8A&#10;AAAAAAAAAQAgAAAAIgAAAGRycy9kb3ducmV2LnhtbFBLAQIUABQAAAAIAIdO4kAJteX25AEAAKsD&#10;AAAOAAAAAAAAAAEAIAAAACEBAABkcnMvZTJvRG9jLnhtbFBLBQYAAAAABgAGAFkBAAB3BQAAAAA=&#10;">
                <v:fill on="f" focussize="0,0"/>
                <v:stroke weight="1.5pt" color="#000000" joinstyle="round"/>
                <v:imagedata o:title=""/>
                <o:lock v:ext="edit" aspectratio="f"/>
              </v:line>
            </w:pict>
          </mc:Fallback>
        </mc:AlternateContent>
      </w:r>
      <w:r>
        <w:rPr>
          <w:rFonts w:hint="eastAsia" w:ascii="仿宋_GB2312" w:hAnsi="Times New Roman" w:eastAsia="仿宋_GB2312" w:cs="Times New Roman"/>
          <w:spacing w:val="-10"/>
          <w:sz w:val="28"/>
          <w:szCs w:val="28"/>
        </w:rPr>
        <w:t xml:space="preserve">天津市人民政府政务服务办公室综合处           </w:t>
      </w:r>
      <w:r>
        <w:rPr>
          <w:rFonts w:ascii="Times New Roman" w:hAnsi="Times New Roman" w:eastAsia="仿宋_GB2312" w:cs="Times New Roman"/>
          <w:spacing w:val="-10"/>
          <w:sz w:val="28"/>
          <w:szCs w:val="28"/>
        </w:rPr>
        <w:t xml:space="preserve"> </w:t>
      </w:r>
      <w:r>
        <w:rPr>
          <w:rFonts w:hint="default" w:ascii="Times New Roman" w:hAnsi="Times New Roman" w:eastAsia="仿宋_GB2312" w:cs="Times New Roman"/>
          <w:spacing w:val="-10"/>
          <w:sz w:val="28"/>
          <w:szCs w:val="28"/>
        </w:rPr>
        <w:t>2020</w:t>
      </w:r>
      <w:r>
        <w:rPr>
          <w:rFonts w:hint="eastAsia" w:ascii="仿宋_GB2312" w:hAnsi="Times New Roman" w:eastAsia="仿宋_GB2312" w:cs="Times New Roman"/>
          <w:spacing w:val="-10"/>
          <w:sz w:val="28"/>
          <w:szCs w:val="28"/>
        </w:rPr>
        <w:t>年</w:t>
      </w:r>
      <w:r>
        <w:rPr>
          <w:rFonts w:hint="default" w:ascii="Times New Roman" w:hAnsi="Times New Roman" w:eastAsia="楷体_GB2312" w:cs="Times New Roman"/>
          <w:sz w:val="28"/>
          <w:szCs w:val="28"/>
          <w:lang w:val="en-US" w:eastAsia="zh-CN"/>
        </w:rPr>
        <w:t>12</w:t>
      </w:r>
      <w:r>
        <w:rPr>
          <w:rFonts w:hint="default" w:ascii="Times New Roman" w:hAnsi="Times New Roman" w:eastAsia="仿宋_GB2312" w:cs="Times New Roman"/>
          <w:spacing w:val="-10"/>
          <w:sz w:val="28"/>
          <w:szCs w:val="28"/>
        </w:rPr>
        <w:t>月</w:t>
      </w:r>
      <w:r>
        <w:rPr>
          <w:rFonts w:hint="default" w:ascii="Times New Roman" w:hAnsi="Times New Roman" w:eastAsia="仿宋_GB2312" w:cs="Times New Roman"/>
          <w:spacing w:val="-10"/>
          <w:sz w:val="28"/>
          <w:szCs w:val="28"/>
          <w:lang w:val="en-US" w:eastAsia="zh-CN"/>
        </w:rPr>
        <w:t>31</w:t>
      </w:r>
      <w:r>
        <w:rPr>
          <w:rFonts w:hint="eastAsia" w:ascii="仿宋_GB2312" w:hAnsi="Times New Roman" w:eastAsia="仿宋_GB2312" w:cs="Times New Roman"/>
          <w:spacing w:val="-10"/>
          <w:sz w:val="28"/>
          <w:szCs w:val="28"/>
        </w:rPr>
        <w:t>日印</w:t>
      </w:r>
      <w:r>
        <w:rPr>
          <w:rFonts w:hint="eastAsia" w:ascii="仿宋_GB2312" w:hAnsi="Times New Roman" w:eastAsia="仿宋_GB2312" w:cs="Times New Roman"/>
          <w:sz w:val="28"/>
          <w:szCs w:val="28"/>
        </w:rPr>
        <w:t>发</w:t>
      </w:r>
    </w:p>
    <w:sectPr>
      <w:footerReference r:id="rId5"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Nimbus Roman No9 L">
    <w:altName w:val="仿宋"/>
    <w:panose1 w:val="00000000000000000000"/>
    <w:charset w:val="00"/>
    <w:family w:val="auto"/>
    <w:pitch w:val="default"/>
    <w:sig w:usb0="00000000" w:usb1="00000000" w:usb2="00000000" w:usb3="00000000" w:csb0="0000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- 1 -</w:t>
                          </w:r>
                          <w:r>
                            <w:rPr>
                              <w:rFonts w:hint="default" w:ascii="Times New Roman" w:hAnsi="Times New Roman" w:cs="Times New Roman"/>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- 1 -</w:t>
                    </w:r>
                    <w:r>
                      <w:rPr>
                        <w:rFonts w:hint="default" w:ascii="Times New Roman" w:hAnsi="Times New Roman" w:cs="Times New Roman"/>
                        <w:sz w:val="28"/>
                        <w:szCs w:val="28"/>
                        <w:lang w:eastAsia="zh-CN"/>
                      </w:rPr>
                      <w:fldChar w:fldCharType="end"/>
                    </w:r>
                  </w:p>
                </w:txbxContent>
              </v:textbox>
            </v:shape>
          </w:pict>
        </mc:Fallback>
      </mc:AlternateContent>
    </w:r>
    <w:r>
      <mc:AlternateContent>
        <mc:Choice Requires="wps">
          <w:drawing>
            <wp:anchor distT="0" distB="0" distL="114300" distR="114300" simplePos="0" relativeHeight="25167564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heme="minorEastAsia" w:hAnsiTheme="minorEastAsia" w:cstheme="minorEastAsia"/>
                              <w:sz w:val="28"/>
                              <w:szCs w:val="2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pPr>
                      <w:pStyle w:val="4"/>
                      <w:rPr>
                        <w:rFonts w:asciiTheme="minorEastAsia" w:hAnsiTheme="minorEastAsia" w:cstheme="minorEastAsia"/>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- 3 -</w:t>
                          </w:r>
                          <w:r>
                            <w:rPr>
                              <w:rFonts w:hint="default" w:ascii="Times New Roman" w:hAnsi="Times New Roman" w:cs="Times New Roman"/>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- 3 -</w:t>
                    </w:r>
                    <w:r>
                      <w:rPr>
                        <w:rFonts w:hint="default" w:ascii="Times New Roman" w:hAnsi="Times New Roman" w:cs="Times New Roman"/>
                        <w:sz w:val="28"/>
                        <w:szCs w:val="28"/>
                        <w:lang w:eastAsia="zh-CN"/>
                      </w:rPr>
                      <w:fldChar w:fldCharType="end"/>
                    </w:r>
                  </w:p>
                </w:txbxContent>
              </v:textbox>
            </v:shape>
          </w:pict>
        </mc:Fallback>
      </mc:AlternateContent>
    </w: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heme="minorEastAsia" w:hAnsiTheme="minorEastAsia" w:cstheme="minorEastAsia"/>
                              <w:sz w:val="28"/>
                              <w:szCs w:val="2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4"/>
                      <w:rPr>
                        <w:rFonts w:asciiTheme="minorEastAsia" w:hAnsiTheme="minorEastAsia" w:cstheme="minorEastAsia"/>
                        <w:sz w:val="28"/>
                        <w:szCs w:val="28"/>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4"/>
                      <w:rPr>
                        <w:rFonts w:hint="eastAsia" w:eastAsiaTheme="minorEastAsia"/>
                        <w:lang w:eastAsia="zh-CN"/>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D01"/>
    <w:rsid w:val="00134D01"/>
    <w:rsid w:val="001D2E0A"/>
    <w:rsid w:val="001F6C47"/>
    <w:rsid w:val="002037A7"/>
    <w:rsid w:val="002A1D7E"/>
    <w:rsid w:val="003A4356"/>
    <w:rsid w:val="003A6096"/>
    <w:rsid w:val="0044618A"/>
    <w:rsid w:val="004A2F8B"/>
    <w:rsid w:val="004B0FFE"/>
    <w:rsid w:val="00506D5A"/>
    <w:rsid w:val="0055240F"/>
    <w:rsid w:val="0061636A"/>
    <w:rsid w:val="00725E6C"/>
    <w:rsid w:val="008B2F7B"/>
    <w:rsid w:val="0095554C"/>
    <w:rsid w:val="0098479E"/>
    <w:rsid w:val="009A5B56"/>
    <w:rsid w:val="00AB5872"/>
    <w:rsid w:val="00B0636A"/>
    <w:rsid w:val="00B62F88"/>
    <w:rsid w:val="00BE632F"/>
    <w:rsid w:val="00CA50C6"/>
    <w:rsid w:val="00DC6723"/>
    <w:rsid w:val="00DE62D9"/>
    <w:rsid w:val="00E37A17"/>
    <w:rsid w:val="00EA5188"/>
    <w:rsid w:val="0A6077DD"/>
    <w:rsid w:val="13266D70"/>
    <w:rsid w:val="18B04609"/>
    <w:rsid w:val="21A645B0"/>
    <w:rsid w:val="27D76150"/>
    <w:rsid w:val="2BFD2456"/>
    <w:rsid w:val="36494AEF"/>
    <w:rsid w:val="3D8916D1"/>
    <w:rsid w:val="3FFF4D96"/>
    <w:rsid w:val="3FFFDBBB"/>
    <w:rsid w:val="43BFE79B"/>
    <w:rsid w:val="461970FB"/>
    <w:rsid w:val="4AFFDEE6"/>
    <w:rsid w:val="4C5B58AC"/>
    <w:rsid w:val="4FEFA522"/>
    <w:rsid w:val="509B50BA"/>
    <w:rsid w:val="575D490D"/>
    <w:rsid w:val="5B572A47"/>
    <w:rsid w:val="5B637E3E"/>
    <w:rsid w:val="5D1DFAEB"/>
    <w:rsid w:val="5FD53D23"/>
    <w:rsid w:val="5FDF2B3C"/>
    <w:rsid w:val="67B7A827"/>
    <w:rsid w:val="6B47EC38"/>
    <w:rsid w:val="6BDEDCBD"/>
    <w:rsid w:val="6FAF2FBC"/>
    <w:rsid w:val="78CD8C56"/>
    <w:rsid w:val="7A5D6EEB"/>
    <w:rsid w:val="7BC735E1"/>
    <w:rsid w:val="7BFFA910"/>
    <w:rsid w:val="7BFFF075"/>
    <w:rsid w:val="7D9B5F37"/>
    <w:rsid w:val="7DFB93B0"/>
    <w:rsid w:val="7F3F13FC"/>
    <w:rsid w:val="7F7FF624"/>
    <w:rsid w:val="7FFEAE32"/>
    <w:rsid w:val="7FFF66F9"/>
    <w:rsid w:val="7FFFFF71"/>
    <w:rsid w:val="A7FDD079"/>
    <w:rsid w:val="AF5FA824"/>
    <w:rsid w:val="B7FB9222"/>
    <w:rsid w:val="BDFD696D"/>
    <w:rsid w:val="BEFFE570"/>
    <w:rsid w:val="BF6B3C8A"/>
    <w:rsid w:val="BFD614F4"/>
    <w:rsid w:val="C9CFCD2C"/>
    <w:rsid w:val="CFBFBDB5"/>
    <w:rsid w:val="DDFF351F"/>
    <w:rsid w:val="DFEEFC2A"/>
    <w:rsid w:val="DFFF7A08"/>
    <w:rsid w:val="E2CD7EA3"/>
    <w:rsid w:val="E74C7501"/>
    <w:rsid w:val="ED7FAD8C"/>
    <w:rsid w:val="F5F4F3D0"/>
    <w:rsid w:val="F6B557B3"/>
    <w:rsid w:val="F7173B68"/>
    <w:rsid w:val="FAEFA6F1"/>
    <w:rsid w:val="FBFF67DC"/>
    <w:rsid w:val="FDE7F6CF"/>
    <w:rsid w:val="FEFC7C90"/>
    <w:rsid w:val="FF4F6A7C"/>
    <w:rsid w:val="FFA77BBD"/>
    <w:rsid w:val="FFFE87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3">
    <w:name w:val="Balloon Text"/>
    <w:basedOn w:val="1"/>
    <w:link w:val="14"/>
    <w:semiHidden/>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customStyle="1" w:styleId="9">
    <w:name w:val="页眉 Char"/>
    <w:basedOn w:val="8"/>
    <w:link w:val="5"/>
    <w:qFormat/>
    <w:uiPriority w:val="99"/>
    <w:rPr>
      <w:sz w:val="18"/>
      <w:szCs w:val="18"/>
    </w:rPr>
  </w:style>
  <w:style w:type="character" w:customStyle="1" w:styleId="10">
    <w:name w:val="页脚 Char"/>
    <w:basedOn w:val="8"/>
    <w:link w:val="4"/>
    <w:qFormat/>
    <w:uiPriority w:val="99"/>
    <w:rPr>
      <w:sz w:val="18"/>
      <w:szCs w:val="18"/>
    </w:rPr>
  </w:style>
  <w:style w:type="character" w:customStyle="1" w:styleId="11">
    <w:name w:val="font21"/>
    <w:basedOn w:val="8"/>
    <w:qFormat/>
    <w:uiPriority w:val="0"/>
    <w:rPr>
      <w:rFonts w:hint="eastAsia" w:ascii="仿宋_GB2312" w:eastAsia="仿宋_GB2312" w:cs="仿宋_GB2312"/>
      <w:color w:val="000000"/>
      <w:sz w:val="24"/>
      <w:szCs w:val="24"/>
      <w:u w:val="none"/>
    </w:rPr>
  </w:style>
  <w:style w:type="character" w:customStyle="1" w:styleId="12">
    <w:name w:val="font11"/>
    <w:basedOn w:val="8"/>
    <w:qFormat/>
    <w:uiPriority w:val="0"/>
    <w:rPr>
      <w:rFonts w:hint="eastAsia" w:ascii="仿宋_GB2312" w:eastAsia="仿宋_GB2312" w:cs="仿宋_GB2312"/>
      <w:color w:val="000000"/>
      <w:sz w:val="24"/>
      <w:szCs w:val="24"/>
      <w:u w:val="none"/>
    </w:rPr>
  </w:style>
  <w:style w:type="character" w:customStyle="1" w:styleId="13">
    <w:name w:val="font01"/>
    <w:basedOn w:val="8"/>
    <w:qFormat/>
    <w:uiPriority w:val="0"/>
    <w:rPr>
      <w:rFonts w:hint="eastAsia" w:ascii="宋体" w:hAnsi="宋体" w:eastAsia="宋体" w:cs="宋体"/>
      <w:color w:val="000000"/>
      <w:sz w:val="24"/>
      <w:szCs w:val="24"/>
      <w:u w:val="none"/>
    </w:rPr>
  </w:style>
  <w:style w:type="character" w:customStyle="1" w:styleId="14">
    <w:name w:val="批注框文本 Char"/>
    <w:basedOn w:val="8"/>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1564</Words>
  <Characters>8921</Characters>
  <Lines>74</Lines>
  <Paragraphs>20</Paragraphs>
  <TotalTime>25</TotalTime>
  <ScaleCrop>false</ScaleCrop>
  <LinksUpToDate>false</LinksUpToDate>
  <CharactersWithSpaces>10465</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2020-12-31T10:04:00Z</dcterms:created>
  <dc:creator>处室一</dc:creator>
  <cp:lastModifiedBy>赵思明</cp:lastModifiedBy>
  <cp:lastPrinted>2020-12-31T03:18:48Z</cp:lastPrinted>
  <dcterms:modified xsi:type="dcterms:W3CDTF">2020-12-31T03:21:32Z</dcterms:modified>
  <dc:title>天津市人民政府政务服务办公室文件</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