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people.xml" ContentType="application/vnd.openxmlformats-officedocument.wordprocessingml.peop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51332" w:rsidRDefault="00E51332">
      <w:pPr>
        <w:ind w:firstLineChars="0" w:firstLine="0"/>
        <w:jc w:val="center"/>
        <w:rPr>
          <w:rFonts w:ascii="方正小标宋简体" w:eastAsia="方正小标宋简体" w:hint="eastAsia"/>
          <w:sz w:val="44"/>
          <w:szCs w:val="44"/>
        </w:rPr>
      </w:pPr>
      <w:bookmarkStart w:id="0" w:name="_GoBack"/>
      <w:bookmarkEnd w:id="0"/>
    </w:p>
    <w:p w:rsidR="00E51332" w:rsidRDefault="00E51332">
      <w:pPr>
        <w:ind w:firstLineChars="0" w:firstLine="0"/>
        <w:jc w:val="center"/>
        <w:rPr>
          <w:rFonts w:ascii="方正小标宋简体" w:eastAsia="方正小标宋简体"/>
          <w:sz w:val="44"/>
          <w:szCs w:val="44"/>
        </w:rPr>
      </w:pPr>
    </w:p>
    <w:p w:rsidR="00E51332" w:rsidRDefault="00E51332">
      <w:pPr>
        <w:ind w:firstLineChars="0" w:firstLine="0"/>
        <w:jc w:val="center"/>
        <w:rPr>
          <w:rFonts w:ascii="方正小标宋简体" w:eastAsia="方正小标宋简体"/>
          <w:sz w:val="44"/>
          <w:szCs w:val="44"/>
        </w:rPr>
      </w:pPr>
    </w:p>
    <w:p w:rsidR="00E51332" w:rsidRDefault="00E51332">
      <w:pPr>
        <w:ind w:firstLineChars="0" w:firstLine="0"/>
        <w:jc w:val="center"/>
        <w:rPr>
          <w:rFonts w:ascii="方正小标宋简体" w:eastAsia="方正小标宋简体"/>
          <w:sz w:val="44"/>
          <w:szCs w:val="44"/>
        </w:rPr>
      </w:pPr>
    </w:p>
    <w:p w:rsidR="00E51332" w:rsidRDefault="00B767C7">
      <w:pPr>
        <w:ind w:firstLineChars="0" w:firstLine="0"/>
        <w:jc w:val="center"/>
        <w:rPr>
          <w:rFonts w:ascii="方正小标宋简体" w:eastAsia="方正小标宋简体"/>
          <w:sz w:val="44"/>
          <w:szCs w:val="44"/>
        </w:rPr>
      </w:pPr>
      <w:r>
        <w:rPr>
          <w:rFonts w:ascii="方正小标宋简体" w:eastAsia="方正小标宋简体" w:hint="eastAsia"/>
          <w:sz w:val="44"/>
          <w:szCs w:val="44"/>
        </w:rPr>
        <w:t>江门市数字政府改革建设“十四五”规划</w:t>
      </w:r>
    </w:p>
    <w:p w:rsidR="00E51332" w:rsidRDefault="00B767C7">
      <w:pPr>
        <w:spacing w:line="384" w:lineRule="auto"/>
        <w:ind w:firstLineChars="0" w:firstLine="0"/>
        <w:jc w:val="center"/>
        <w:rPr>
          <w:rFonts w:eastAsia="楷体_GB2312" w:cs="Times New Roman"/>
          <w:szCs w:val="32"/>
        </w:rPr>
      </w:pPr>
      <w:r>
        <w:rPr>
          <w:rFonts w:eastAsia="楷体_GB2312" w:cs="Times New Roman" w:hint="eastAsia"/>
          <w:szCs w:val="32"/>
        </w:rPr>
        <w:t>（征求意见稿）</w:t>
      </w:r>
    </w:p>
    <w:p w:rsidR="00E51332" w:rsidRDefault="00E51332">
      <w:pPr>
        <w:ind w:firstLine="640"/>
      </w:pPr>
    </w:p>
    <w:p w:rsidR="00E51332" w:rsidRDefault="00E51332">
      <w:pPr>
        <w:ind w:firstLine="640"/>
      </w:pPr>
    </w:p>
    <w:p w:rsidR="00E51332" w:rsidRDefault="00E51332">
      <w:pPr>
        <w:ind w:firstLine="640"/>
      </w:pPr>
    </w:p>
    <w:p w:rsidR="00E51332" w:rsidRDefault="00E51332">
      <w:pPr>
        <w:ind w:firstLine="640"/>
      </w:pPr>
    </w:p>
    <w:p w:rsidR="00E51332" w:rsidRDefault="00E51332">
      <w:pPr>
        <w:ind w:firstLine="640"/>
      </w:pPr>
    </w:p>
    <w:p w:rsidR="00E51332" w:rsidRDefault="00E51332">
      <w:pPr>
        <w:ind w:firstLine="640"/>
      </w:pPr>
    </w:p>
    <w:p w:rsidR="00E51332" w:rsidRDefault="00E51332">
      <w:pPr>
        <w:ind w:firstLine="640"/>
      </w:pPr>
    </w:p>
    <w:p w:rsidR="00E51332" w:rsidRDefault="00E51332">
      <w:pPr>
        <w:ind w:firstLine="640"/>
      </w:pPr>
    </w:p>
    <w:p w:rsidR="00E51332" w:rsidRDefault="00E51332">
      <w:pPr>
        <w:ind w:firstLine="640"/>
      </w:pPr>
    </w:p>
    <w:p w:rsidR="00E51332" w:rsidRDefault="00E51332">
      <w:pPr>
        <w:ind w:firstLine="640"/>
      </w:pPr>
    </w:p>
    <w:p w:rsidR="00E51332" w:rsidRDefault="00E51332">
      <w:pPr>
        <w:ind w:firstLine="640"/>
      </w:pPr>
    </w:p>
    <w:p w:rsidR="00E51332" w:rsidRDefault="00E51332">
      <w:pPr>
        <w:ind w:firstLine="640"/>
      </w:pPr>
    </w:p>
    <w:p w:rsidR="00E51332" w:rsidRDefault="00E51332">
      <w:pPr>
        <w:ind w:firstLine="640"/>
      </w:pPr>
    </w:p>
    <w:p w:rsidR="00E51332" w:rsidRDefault="00B767C7">
      <w:pPr>
        <w:ind w:firstLineChars="0" w:firstLine="0"/>
        <w:jc w:val="center"/>
        <w:rPr>
          <w:rFonts w:ascii="楷体_GB2312" w:eastAsia="楷体_GB2312"/>
        </w:rPr>
      </w:pPr>
      <w:r>
        <w:rPr>
          <w:rFonts w:ascii="楷体_GB2312" w:eastAsia="楷体_GB2312" w:hint="eastAsia"/>
        </w:rPr>
        <w:t>江门市政务服务数据管理局</w:t>
      </w:r>
    </w:p>
    <w:p w:rsidR="00E51332" w:rsidRDefault="00B767C7">
      <w:pPr>
        <w:ind w:firstLineChars="0" w:firstLine="0"/>
        <w:jc w:val="center"/>
        <w:rPr>
          <w:rFonts w:ascii="楷体_GB2312" w:eastAsia="楷体_GB2312"/>
        </w:rPr>
        <w:sectPr w:rsidR="00E51332">
          <w:headerReference w:type="even" r:id="rId11"/>
          <w:headerReference w:type="default" r:id="rId12"/>
          <w:footerReference w:type="even" r:id="rId13"/>
          <w:footerReference w:type="default" r:id="rId14"/>
          <w:headerReference w:type="first" r:id="rId15"/>
          <w:footerReference w:type="first" r:id="rId16"/>
          <w:pgSz w:w="11906" w:h="16838"/>
          <w:pgMar w:top="1440" w:right="1800" w:bottom="1440" w:left="1800" w:header="851" w:footer="992" w:gutter="0"/>
          <w:pgNumType w:fmt="upperRoman" w:start="1"/>
          <w:cols w:space="425"/>
          <w:titlePg/>
          <w:docGrid w:type="lines" w:linePitch="435"/>
        </w:sectPr>
      </w:pPr>
      <w:r>
        <w:rPr>
          <w:rFonts w:ascii="楷体_GB2312" w:eastAsia="楷体_GB2312" w:hint="eastAsia"/>
        </w:rPr>
        <w:t>2021年</w:t>
      </w:r>
      <w:r w:rsidR="001059AA">
        <w:rPr>
          <w:rFonts w:ascii="楷体_GB2312" w:eastAsia="楷体_GB2312" w:hint="eastAsia"/>
        </w:rPr>
        <w:t>4</w:t>
      </w:r>
      <w:r>
        <w:rPr>
          <w:rFonts w:ascii="楷体_GB2312" w:eastAsia="楷体_GB2312" w:hint="eastAsia"/>
        </w:rPr>
        <w:t>月</w:t>
      </w:r>
    </w:p>
    <w:p w:rsidR="00E51332" w:rsidRPr="002B59AE" w:rsidRDefault="00B767C7" w:rsidP="002B59AE">
      <w:pPr>
        <w:widowControl/>
        <w:tabs>
          <w:tab w:val="right" w:leader="dot" w:pos="8296"/>
        </w:tabs>
        <w:spacing w:line="240" w:lineRule="auto"/>
        <w:ind w:firstLineChars="0" w:firstLine="0"/>
        <w:jc w:val="center"/>
        <w:rPr>
          <w:rFonts w:ascii="黑体" w:hAnsi="黑体" w:cs="黑体"/>
        </w:rPr>
      </w:pPr>
      <w:r w:rsidRPr="002B59AE">
        <w:rPr>
          <w:rFonts w:ascii="黑体" w:eastAsia="黑体" w:hAnsi="黑体" w:cs="黑体" w:hint="eastAsia"/>
        </w:rPr>
        <w:lastRenderedPageBreak/>
        <w:t>目</w:t>
      </w:r>
      <w:r w:rsidRPr="002B59AE">
        <w:rPr>
          <w:rFonts w:ascii="黑体" w:eastAsia="黑体" w:hAnsi="黑体" w:cs="黑体"/>
        </w:rPr>
        <w:t xml:space="preserve"> </w:t>
      </w:r>
      <w:r w:rsidRPr="002B59AE">
        <w:rPr>
          <w:rFonts w:ascii="黑体" w:eastAsia="黑体" w:hAnsi="黑体" w:cs="黑体" w:hint="eastAsia"/>
        </w:rPr>
        <w:t>录</w:t>
      </w:r>
    </w:p>
    <w:p w:rsidR="00E51332" w:rsidRDefault="00B767C7">
      <w:pPr>
        <w:pStyle w:val="10"/>
        <w:rPr>
          <w:rFonts w:asciiTheme="minorHAnsi" w:eastAsiaTheme="minorEastAsia" w:hAnsiTheme="minorHAnsi"/>
          <w:sz w:val="21"/>
          <w:szCs w:val="22"/>
        </w:rPr>
      </w:pPr>
      <w:r>
        <w:rPr>
          <w:rFonts w:ascii="黑体" w:hAnsi="黑体"/>
        </w:rPr>
        <w:fldChar w:fldCharType="begin"/>
      </w:r>
      <w:r>
        <w:rPr>
          <w:rFonts w:ascii="黑体" w:hAnsi="黑体"/>
        </w:rPr>
        <w:instrText xml:space="preserve"> TOC \o "1-2" \h \z \u </w:instrText>
      </w:r>
      <w:r>
        <w:rPr>
          <w:rFonts w:ascii="黑体" w:hAnsi="黑体"/>
        </w:rPr>
        <w:fldChar w:fldCharType="separate"/>
      </w:r>
      <w:hyperlink w:anchor="_Toc66093938" w:history="1">
        <w:r>
          <w:rPr>
            <w:rStyle w:val="ac"/>
          </w:rPr>
          <w:t>引</w:t>
        </w:r>
        <w:r>
          <w:rPr>
            <w:rStyle w:val="ac"/>
          </w:rPr>
          <w:t xml:space="preserve">  </w:t>
        </w:r>
        <w:r>
          <w:rPr>
            <w:rStyle w:val="ac"/>
          </w:rPr>
          <w:t>言</w:t>
        </w:r>
        <w:r>
          <w:tab/>
        </w:r>
        <w:r>
          <w:fldChar w:fldCharType="begin"/>
        </w:r>
        <w:r>
          <w:instrText xml:space="preserve"> PAGEREF _Toc66093938 \h </w:instrText>
        </w:r>
        <w:r>
          <w:fldChar w:fldCharType="separate"/>
        </w:r>
        <w:r>
          <w:t>1</w:t>
        </w:r>
        <w:r>
          <w:fldChar w:fldCharType="end"/>
        </w:r>
      </w:hyperlink>
    </w:p>
    <w:p w:rsidR="00E51332" w:rsidRDefault="00175E0D">
      <w:pPr>
        <w:pStyle w:val="10"/>
        <w:rPr>
          <w:rFonts w:asciiTheme="minorHAnsi" w:eastAsiaTheme="minorEastAsia" w:hAnsiTheme="minorHAnsi"/>
          <w:sz w:val="21"/>
          <w:szCs w:val="22"/>
        </w:rPr>
      </w:pPr>
      <w:hyperlink w:anchor="_Toc66093939" w:history="1">
        <w:r w:rsidR="00B767C7">
          <w:rPr>
            <w:rStyle w:val="ac"/>
          </w:rPr>
          <w:t>一、</w:t>
        </w:r>
        <w:r w:rsidR="00B767C7">
          <w:rPr>
            <w:rStyle w:val="ac"/>
          </w:rPr>
          <w:t xml:space="preserve"> </w:t>
        </w:r>
        <w:r w:rsidR="00B767C7">
          <w:rPr>
            <w:rStyle w:val="ac"/>
          </w:rPr>
          <w:t>规划背景和现状</w:t>
        </w:r>
        <w:r w:rsidR="00B767C7">
          <w:tab/>
        </w:r>
        <w:r w:rsidR="00B767C7">
          <w:fldChar w:fldCharType="begin"/>
        </w:r>
        <w:r w:rsidR="00B767C7">
          <w:instrText xml:space="preserve"> PAGEREF _Toc66093939 \h </w:instrText>
        </w:r>
        <w:r w:rsidR="00B767C7">
          <w:fldChar w:fldCharType="separate"/>
        </w:r>
        <w:r w:rsidR="00B767C7">
          <w:t>1</w:t>
        </w:r>
        <w:r w:rsidR="00B767C7">
          <w:fldChar w:fldCharType="end"/>
        </w:r>
      </w:hyperlink>
    </w:p>
    <w:p w:rsidR="00E51332" w:rsidRDefault="00175E0D">
      <w:pPr>
        <w:pStyle w:val="20"/>
        <w:tabs>
          <w:tab w:val="right" w:leader="dot" w:pos="8296"/>
        </w:tabs>
        <w:ind w:left="640"/>
        <w:rPr>
          <w:rFonts w:asciiTheme="minorHAnsi" w:eastAsiaTheme="minorEastAsia" w:hAnsiTheme="minorHAnsi"/>
          <w:sz w:val="21"/>
        </w:rPr>
      </w:pPr>
      <w:hyperlink w:anchor="_Toc66093940" w:history="1">
        <w:r w:rsidR="00B767C7">
          <w:rPr>
            <w:rStyle w:val="ac"/>
          </w:rPr>
          <w:t>（一）</w:t>
        </w:r>
        <w:r w:rsidR="00B767C7">
          <w:rPr>
            <w:rStyle w:val="ac"/>
          </w:rPr>
          <w:t xml:space="preserve"> </w:t>
        </w:r>
        <w:r w:rsidR="00B767C7">
          <w:rPr>
            <w:rStyle w:val="ac"/>
          </w:rPr>
          <w:t>发展现状。</w:t>
        </w:r>
        <w:r w:rsidR="00B767C7">
          <w:tab/>
        </w:r>
        <w:r w:rsidR="00B767C7">
          <w:fldChar w:fldCharType="begin"/>
        </w:r>
        <w:r w:rsidR="00B767C7">
          <w:instrText xml:space="preserve"> PAGEREF _Toc66093940 \h </w:instrText>
        </w:r>
        <w:r w:rsidR="00B767C7">
          <w:fldChar w:fldCharType="separate"/>
        </w:r>
        <w:r w:rsidR="00B767C7">
          <w:t>1</w:t>
        </w:r>
        <w:r w:rsidR="00B767C7">
          <w:fldChar w:fldCharType="end"/>
        </w:r>
      </w:hyperlink>
    </w:p>
    <w:p w:rsidR="00E51332" w:rsidRDefault="00175E0D">
      <w:pPr>
        <w:pStyle w:val="20"/>
        <w:tabs>
          <w:tab w:val="right" w:leader="dot" w:pos="8296"/>
        </w:tabs>
        <w:ind w:left="640"/>
        <w:rPr>
          <w:rFonts w:asciiTheme="minorHAnsi" w:eastAsiaTheme="minorEastAsia" w:hAnsiTheme="minorHAnsi"/>
          <w:sz w:val="21"/>
        </w:rPr>
      </w:pPr>
      <w:hyperlink w:anchor="_Toc66093941" w:history="1">
        <w:r w:rsidR="00B767C7">
          <w:rPr>
            <w:rStyle w:val="ac"/>
          </w:rPr>
          <w:t>（二）</w:t>
        </w:r>
        <w:r w:rsidR="00B767C7">
          <w:rPr>
            <w:rStyle w:val="ac"/>
          </w:rPr>
          <w:t xml:space="preserve"> </w:t>
        </w:r>
        <w:r w:rsidR="00B767C7">
          <w:rPr>
            <w:rStyle w:val="ac"/>
          </w:rPr>
          <w:t>存在问题。</w:t>
        </w:r>
        <w:r w:rsidR="00B767C7">
          <w:tab/>
        </w:r>
        <w:r w:rsidR="00B767C7">
          <w:fldChar w:fldCharType="begin"/>
        </w:r>
        <w:r w:rsidR="00B767C7">
          <w:instrText xml:space="preserve"> PAGEREF _Toc66093941 \h </w:instrText>
        </w:r>
        <w:r w:rsidR="00B767C7">
          <w:fldChar w:fldCharType="separate"/>
        </w:r>
        <w:r w:rsidR="00B767C7">
          <w:t>4</w:t>
        </w:r>
        <w:r w:rsidR="00B767C7">
          <w:fldChar w:fldCharType="end"/>
        </w:r>
      </w:hyperlink>
    </w:p>
    <w:p w:rsidR="00E51332" w:rsidRDefault="00175E0D">
      <w:pPr>
        <w:pStyle w:val="20"/>
        <w:tabs>
          <w:tab w:val="right" w:leader="dot" w:pos="8296"/>
        </w:tabs>
        <w:ind w:left="640"/>
        <w:rPr>
          <w:rFonts w:asciiTheme="minorHAnsi" w:eastAsiaTheme="minorEastAsia" w:hAnsiTheme="minorHAnsi"/>
          <w:sz w:val="21"/>
        </w:rPr>
      </w:pPr>
      <w:hyperlink w:anchor="_Toc66093942" w:history="1">
        <w:r w:rsidR="00B767C7">
          <w:rPr>
            <w:rStyle w:val="ac"/>
          </w:rPr>
          <w:t>（三）</w:t>
        </w:r>
        <w:r w:rsidR="00B767C7">
          <w:rPr>
            <w:rStyle w:val="ac"/>
          </w:rPr>
          <w:t xml:space="preserve"> </w:t>
        </w:r>
        <w:r w:rsidR="00B767C7">
          <w:rPr>
            <w:rStyle w:val="ac"/>
          </w:rPr>
          <w:t>发展趋势。</w:t>
        </w:r>
        <w:r w:rsidR="00B767C7">
          <w:tab/>
        </w:r>
        <w:r w:rsidR="00B767C7">
          <w:fldChar w:fldCharType="begin"/>
        </w:r>
        <w:r w:rsidR="00B767C7">
          <w:instrText xml:space="preserve"> PAGEREF _Toc66093942 \h </w:instrText>
        </w:r>
        <w:r w:rsidR="00B767C7">
          <w:fldChar w:fldCharType="separate"/>
        </w:r>
        <w:r w:rsidR="00B767C7">
          <w:t>6</w:t>
        </w:r>
        <w:r w:rsidR="00B767C7">
          <w:fldChar w:fldCharType="end"/>
        </w:r>
      </w:hyperlink>
    </w:p>
    <w:p w:rsidR="00E51332" w:rsidRDefault="00175E0D">
      <w:pPr>
        <w:pStyle w:val="10"/>
        <w:rPr>
          <w:rFonts w:asciiTheme="minorHAnsi" w:eastAsiaTheme="minorEastAsia" w:hAnsiTheme="minorHAnsi"/>
          <w:sz w:val="21"/>
          <w:szCs w:val="22"/>
        </w:rPr>
      </w:pPr>
      <w:hyperlink w:anchor="_Toc66093943" w:history="1">
        <w:r w:rsidR="00B767C7">
          <w:rPr>
            <w:rStyle w:val="ac"/>
          </w:rPr>
          <w:t>二、</w:t>
        </w:r>
        <w:r w:rsidR="00B767C7">
          <w:rPr>
            <w:rStyle w:val="ac"/>
          </w:rPr>
          <w:t xml:space="preserve"> </w:t>
        </w:r>
        <w:r w:rsidR="00B767C7">
          <w:rPr>
            <w:rStyle w:val="ac"/>
          </w:rPr>
          <w:t>总体要求</w:t>
        </w:r>
        <w:r w:rsidR="00B767C7">
          <w:tab/>
        </w:r>
        <w:r w:rsidR="00B767C7">
          <w:fldChar w:fldCharType="begin"/>
        </w:r>
        <w:r w:rsidR="00B767C7">
          <w:instrText xml:space="preserve"> PAGEREF _Toc66093943 \h </w:instrText>
        </w:r>
        <w:r w:rsidR="00B767C7">
          <w:fldChar w:fldCharType="separate"/>
        </w:r>
        <w:r w:rsidR="00B767C7">
          <w:t>8</w:t>
        </w:r>
        <w:r w:rsidR="00B767C7">
          <w:fldChar w:fldCharType="end"/>
        </w:r>
      </w:hyperlink>
    </w:p>
    <w:p w:rsidR="00E51332" w:rsidRDefault="00175E0D">
      <w:pPr>
        <w:pStyle w:val="20"/>
        <w:tabs>
          <w:tab w:val="right" w:leader="dot" w:pos="8296"/>
        </w:tabs>
        <w:ind w:left="640"/>
        <w:rPr>
          <w:rFonts w:asciiTheme="minorHAnsi" w:eastAsiaTheme="minorEastAsia" w:hAnsiTheme="minorHAnsi"/>
          <w:sz w:val="21"/>
        </w:rPr>
      </w:pPr>
      <w:hyperlink w:anchor="_Toc66093944" w:history="1">
        <w:r w:rsidR="00B767C7">
          <w:rPr>
            <w:rStyle w:val="ac"/>
          </w:rPr>
          <w:t>（一）</w:t>
        </w:r>
        <w:r w:rsidR="00B767C7">
          <w:rPr>
            <w:rStyle w:val="ac"/>
          </w:rPr>
          <w:t xml:space="preserve"> </w:t>
        </w:r>
        <w:r w:rsidR="00B767C7">
          <w:rPr>
            <w:rStyle w:val="ac"/>
          </w:rPr>
          <w:t>指导思想。</w:t>
        </w:r>
        <w:r w:rsidR="00B767C7">
          <w:tab/>
        </w:r>
        <w:r w:rsidR="00B767C7">
          <w:fldChar w:fldCharType="begin"/>
        </w:r>
        <w:r w:rsidR="00B767C7">
          <w:instrText xml:space="preserve"> PAGEREF _Toc66093944 \h </w:instrText>
        </w:r>
        <w:r w:rsidR="00B767C7">
          <w:fldChar w:fldCharType="separate"/>
        </w:r>
        <w:r w:rsidR="00B767C7">
          <w:t>8</w:t>
        </w:r>
        <w:r w:rsidR="00B767C7">
          <w:fldChar w:fldCharType="end"/>
        </w:r>
      </w:hyperlink>
    </w:p>
    <w:p w:rsidR="00E51332" w:rsidRDefault="00175E0D">
      <w:pPr>
        <w:pStyle w:val="20"/>
        <w:tabs>
          <w:tab w:val="right" w:leader="dot" w:pos="8296"/>
        </w:tabs>
        <w:ind w:left="640"/>
        <w:rPr>
          <w:rFonts w:asciiTheme="minorHAnsi" w:eastAsiaTheme="minorEastAsia" w:hAnsiTheme="minorHAnsi"/>
          <w:sz w:val="21"/>
        </w:rPr>
      </w:pPr>
      <w:hyperlink w:anchor="_Toc66093945" w:history="1">
        <w:r w:rsidR="00B767C7">
          <w:rPr>
            <w:rStyle w:val="ac"/>
          </w:rPr>
          <w:t>（二）</w:t>
        </w:r>
        <w:r w:rsidR="00B767C7">
          <w:rPr>
            <w:rStyle w:val="ac"/>
          </w:rPr>
          <w:t xml:space="preserve"> </w:t>
        </w:r>
        <w:r w:rsidR="00B767C7">
          <w:rPr>
            <w:rStyle w:val="ac"/>
          </w:rPr>
          <w:t>基本原则。</w:t>
        </w:r>
        <w:r w:rsidR="00B767C7">
          <w:tab/>
        </w:r>
        <w:r w:rsidR="00B767C7">
          <w:fldChar w:fldCharType="begin"/>
        </w:r>
        <w:r w:rsidR="00B767C7">
          <w:instrText xml:space="preserve"> PAGEREF _Toc66093945 \h </w:instrText>
        </w:r>
        <w:r w:rsidR="00B767C7">
          <w:fldChar w:fldCharType="separate"/>
        </w:r>
        <w:r w:rsidR="00B767C7">
          <w:t>9</w:t>
        </w:r>
        <w:r w:rsidR="00B767C7">
          <w:fldChar w:fldCharType="end"/>
        </w:r>
      </w:hyperlink>
    </w:p>
    <w:p w:rsidR="00E51332" w:rsidRDefault="00175E0D">
      <w:pPr>
        <w:pStyle w:val="20"/>
        <w:tabs>
          <w:tab w:val="right" w:leader="dot" w:pos="8296"/>
        </w:tabs>
        <w:ind w:left="640"/>
        <w:rPr>
          <w:rFonts w:asciiTheme="minorHAnsi" w:eastAsiaTheme="minorEastAsia" w:hAnsiTheme="minorHAnsi"/>
          <w:sz w:val="21"/>
        </w:rPr>
      </w:pPr>
      <w:hyperlink w:anchor="_Toc66093946" w:history="1">
        <w:r w:rsidR="00B767C7">
          <w:rPr>
            <w:rStyle w:val="ac"/>
          </w:rPr>
          <w:t>（三）</w:t>
        </w:r>
        <w:r w:rsidR="00B767C7">
          <w:rPr>
            <w:rStyle w:val="ac"/>
          </w:rPr>
          <w:t xml:space="preserve"> </w:t>
        </w:r>
        <w:r w:rsidR="00B767C7">
          <w:rPr>
            <w:rStyle w:val="ac"/>
          </w:rPr>
          <w:t>发展目标。</w:t>
        </w:r>
        <w:r w:rsidR="00B767C7">
          <w:tab/>
        </w:r>
        <w:r w:rsidR="00B767C7">
          <w:fldChar w:fldCharType="begin"/>
        </w:r>
        <w:r w:rsidR="00B767C7">
          <w:instrText xml:space="preserve"> PAGEREF _Toc66093946 \h </w:instrText>
        </w:r>
        <w:r w:rsidR="00B767C7">
          <w:fldChar w:fldCharType="separate"/>
        </w:r>
        <w:r w:rsidR="00B767C7">
          <w:t>10</w:t>
        </w:r>
        <w:r w:rsidR="00B767C7">
          <w:fldChar w:fldCharType="end"/>
        </w:r>
      </w:hyperlink>
    </w:p>
    <w:p w:rsidR="00E51332" w:rsidRDefault="00175E0D">
      <w:pPr>
        <w:pStyle w:val="20"/>
        <w:tabs>
          <w:tab w:val="right" w:leader="dot" w:pos="8296"/>
        </w:tabs>
        <w:ind w:left="640"/>
        <w:rPr>
          <w:rFonts w:asciiTheme="minorHAnsi" w:eastAsiaTheme="minorEastAsia" w:hAnsiTheme="minorHAnsi"/>
          <w:sz w:val="21"/>
        </w:rPr>
      </w:pPr>
      <w:hyperlink w:anchor="_Toc66093947" w:history="1">
        <w:r w:rsidR="00B767C7">
          <w:rPr>
            <w:rStyle w:val="ac"/>
          </w:rPr>
          <w:t>（四）</w:t>
        </w:r>
        <w:r w:rsidR="00B767C7">
          <w:rPr>
            <w:rStyle w:val="ac"/>
          </w:rPr>
          <w:t xml:space="preserve"> </w:t>
        </w:r>
        <w:r w:rsidR="00B767C7">
          <w:rPr>
            <w:rStyle w:val="ac"/>
          </w:rPr>
          <w:t>实施策略。</w:t>
        </w:r>
        <w:r w:rsidR="00B767C7">
          <w:tab/>
        </w:r>
        <w:r w:rsidR="00B767C7">
          <w:fldChar w:fldCharType="begin"/>
        </w:r>
        <w:r w:rsidR="00B767C7">
          <w:instrText xml:space="preserve"> PAGEREF _Toc66093947 \h </w:instrText>
        </w:r>
        <w:r w:rsidR="00B767C7">
          <w:fldChar w:fldCharType="separate"/>
        </w:r>
        <w:r w:rsidR="00B767C7">
          <w:t>14</w:t>
        </w:r>
        <w:r w:rsidR="00B767C7">
          <w:fldChar w:fldCharType="end"/>
        </w:r>
      </w:hyperlink>
    </w:p>
    <w:p w:rsidR="00E51332" w:rsidRDefault="00175E0D">
      <w:pPr>
        <w:pStyle w:val="20"/>
        <w:tabs>
          <w:tab w:val="right" w:leader="dot" w:pos="8296"/>
        </w:tabs>
        <w:ind w:left="640"/>
        <w:rPr>
          <w:rFonts w:asciiTheme="minorHAnsi" w:eastAsiaTheme="minorEastAsia" w:hAnsiTheme="minorHAnsi"/>
          <w:sz w:val="21"/>
        </w:rPr>
      </w:pPr>
      <w:hyperlink w:anchor="_Toc66093948" w:history="1">
        <w:r w:rsidR="00B767C7">
          <w:rPr>
            <w:rStyle w:val="ac"/>
          </w:rPr>
          <w:t>（五）</w:t>
        </w:r>
        <w:r w:rsidR="00B767C7">
          <w:rPr>
            <w:rStyle w:val="ac"/>
          </w:rPr>
          <w:t xml:space="preserve"> </w:t>
        </w:r>
        <w:r w:rsidR="00B767C7">
          <w:rPr>
            <w:rStyle w:val="ac"/>
          </w:rPr>
          <w:t>关系定位。</w:t>
        </w:r>
        <w:r w:rsidR="00B767C7">
          <w:tab/>
        </w:r>
        <w:r w:rsidR="00B767C7">
          <w:fldChar w:fldCharType="begin"/>
        </w:r>
        <w:r w:rsidR="00B767C7">
          <w:instrText xml:space="preserve"> PAGEREF _Toc66093948 \h </w:instrText>
        </w:r>
        <w:r w:rsidR="00B767C7">
          <w:fldChar w:fldCharType="separate"/>
        </w:r>
        <w:r w:rsidR="00B767C7">
          <w:t>16</w:t>
        </w:r>
        <w:r w:rsidR="00B767C7">
          <w:fldChar w:fldCharType="end"/>
        </w:r>
      </w:hyperlink>
    </w:p>
    <w:p w:rsidR="00E51332" w:rsidRDefault="00175E0D">
      <w:pPr>
        <w:pStyle w:val="10"/>
        <w:rPr>
          <w:rFonts w:asciiTheme="minorHAnsi" w:eastAsiaTheme="minorEastAsia" w:hAnsiTheme="minorHAnsi"/>
          <w:sz w:val="21"/>
          <w:szCs w:val="22"/>
        </w:rPr>
      </w:pPr>
      <w:hyperlink w:anchor="_Toc66093949" w:history="1">
        <w:r w:rsidR="00B767C7">
          <w:rPr>
            <w:rStyle w:val="ac"/>
          </w:rPr>
          <w:t>三、</w:t>
        </w:r>
        <w:r w:rsidR="00B767C7">
          <w:rPr>
            <w:rStyle w:val="ac"/>
          </w:rPr>
          <w:t xml:space="preserve"> </w:t>
        </w:r>
        <w:r w:rsidR="00B767C7">
          <w:rPr>
            <w:rStyle w:val="ac"/>
          </w:rPr>
          <w:t>总体架构</w:t>
        </w:r>
        <w:r w:rsidR="00B767C7">
          <w:tab/>
        </w:r>
        <w:r w:rsidR="00B767C7">
          <w:fldChar w:fldCharType="begin"/>
        </w:r>
        <w:r w:rsidR="00B767C7">
          <w:instrText xml:space="preserve"> PAGEREF _Toc66093949 \h </w:instrText>
        </w:r>
        <w:r w:rsidR="00B767C7">
          <w:fldChar w:fldCharType="separate"/>
        </w:r>
        <w:r w:rsidR="00B767C7">
          <w:t>22</w:t>
        </w:r>
        <w:r w:rsidR="00B767C7">
          <w:fldChar w:fldCharType="end"/>
        </w:r>
      </w:hyperlink>
    </w:p>
    <w:p w:rsidR="00E51332" w:rsidRDefault="00175E0D">
      <w:pPr>
        <w:pStyle w:val="20"/>
        <w:tabs>
          <w:tab w:val="right" w:leader="dot" w:pos="8296"/>
        </w:tabs>
        <w:ind w:left="640"/>
        <w:rPr>
          <w:rFonts w:asciiTheme="minorHAnsi" w:eastAsiaTheme="minorEastAsia" w:hAnsiTheme="minorHAnsi"/>
          <w:sz w:val="21"/>
        </w:rPr>
      </w:pPr>
      <w:hyperlink w:anchor="_Toc66093950" w:history="1">
        <w:r w:rsidR="00B767C7">
          <w:rPr>
            <w:rStyle w:val="ac"/>
          </w:rPr>
          <w:t>（一）</w:t>
        </w:r>
        <w:r w:rsidR="00B767C7">
          <w:rPr>
            <w:rStyle w:val="ac"/>
          </w:rPr>
          <w:t xml:space="preserve"> </w:t>
        </w:r>
        <w:r w:rsidR="00B767C7">
          <w:rPr>
            <w:rStyle w:val="ac"/>
          </w:rPr>
          <w:t>管理架构。</w:t>
        </w:r>
        <w:r w:rsidR="00B767C7">
          <w:tab/>
        </w:r>
        <w:r w:rsidR="00B767C7">
          <w:fldChar w:fldCharType="begin"/>
        </w:r>
        <w:r w:rsidR="00B767C7">
          <w:instrText xml:space="preserve"> PAGEREF _Toc66093950 \h </w:instrText>
        </w:r>
        <w:r w:rsidR="00B767C7">
          <w:fldChar w:fldCharType="separate"/>
        </w:r>
        <w:r w:rsidR="00B767C7">
          <w:t>22</w:t>
        </w:r>
        <w:r w:rsidR="00B767C7">
          <w:fldChar w:fldCharType="end"/>
        </w:r>
      </w:hyperlink>
    </w:p>
    <w:p w:rsidR="00E51332" w:rsidRDefault="00175E0D">
      <w:pPr>
        <w:pStyle w:val="20"/>
        <w:tabs>
          <w:tab w:val="right" w:leader="dot" w:pos="8296"/>
        </w:tabs>
        <w:ind w:left="640"/>
        <w:rPr>
          <w:rFonts w:asciiTheme="minorHAnsi" w:eastAsiaTheme="minorEastAsia" w:hAnsiTheme="minorHAnsi"/>
          <w:sz w:val="21"/>
        </w:rPr>
      </w:pPr>
      <w:hyperlink w:anchor="_Toc66093951" w:history="1">
        <w:r w:rsidR="00B767C7">
          <w:rPr>
            <w:rStyle w:val="ac"/>
          </w:rPr>
          <w:t>（二）</w:t>
        </w:r>
        <w:r w:rsidR="00B767C7">
          <w:rPr>
            <w:rStyle w:val="ac"/>
          </w:rPr>
          <w:t xml:space="preserve"> </w:t>
        </w:r>
        <w:r w:rsidR="00B767C7">
          <w:rPr>
            <w:rStyle w:val="ac"/>
          </w:rPr>
          <w:t>业务架构。</w:t>
        </w:r>
        <w:r w:rsidR="00B767C7">
          <w:tab/>
        </w:r>
        <w:r w:rsidR="00B767C7">
          <w:fldChar w:fldCharType="begin"/>
        </w:r>
        <w:r w:rsidR="00B767C7">
          <w:instrText xml:space="preserve"> PAGEREF _Toc66093951 \h </w:instrText>
        </w:r>
        <w:r w:rsidR="00B767C7">
          <w:fldChar w:fldCharType="separate"/>
        </w:r>
        <w:r w:rsidR="00B767C7">
          <w:t>24</w:t>
        </w:r>
        <w:r w:rsidR="00B767C7">
          <w:fldChar w:fldCharType="end"/>
        </w:r>
      </w:hyperlink>
    </w:p>
    <w:p w:rsidR="00E51332" w:rsidRDefault="00175E0D">
      <w:pPr>
        <w:pStyle w:val="20"/>
        <w:tabs>
          <w:tab w:val="right" w:leader="dot" w:pos="8296"/>
        </w:tabs>
        <w:ind w:left="640"/>
        <w:rPr>
          <w:rFonts w:asciiTheme="minorHAnsi" w:eastAsiaTheme="minorEastAsia" w:hAnsiTheme="minorHAnsi"/>
          <w:sz w:val="21"/>
        </w:rPr>
      </w:pPr>
      <w:hyperlink w:anchor="_Toc66093952" w:history="1">
        <w:r w:rsidR="00B767C7">
          <w:rPr>
            <w:rStyle w:val="ac"/>
          </w:rPr>
          <w:t>（三）</w:t>
        </w:r>
        <w:r w:rsidR="00B767C7">
          <w:rPr>
            <w:rStyle w:val="ac"/>
          </w:rPr>
          <w:t xml:space="preserve"> </w:t>
        </w:r>
        <w:r w:rsidR="00B767C7">
          <w:rPr>
            <w:rStyle w:val="ac"/>
          </w:rPr>
          <w:t>技术架构。</w:t>
        </w:r>
        <w:r w:rsidR="00B767C7">
          <w:tab/>
        </w:r>
        <w:r w:rsidR="00B767C7">
          <w:fldChar w:fldCharType="begin"/>
        </w:r>
        <w:r w:rsidR="00B767C7">
          <w:instrText xml:space="preserve"> PAGEREF _Toc66093952 \h </w:instrText>
        </w:r>
        <w:r w:rsidR="00B767C7">
          <w:fldChar w:fldCharType="separate"/>
        </w:r>
        <w:r w:rsidR="00B767C7">
          <w:t>27</w:t>
        </w:r>
        <w:r w:rsidR="00B767C7">
          <w:fldChar w:fldCharType="end"/>
        </w:r>
      </w:hyperlink>
    </w:p>
    <w:p w:rsidR="00E51332" w:rsidRDefault="00175E0D">
      <w:pPr>
        <w:pStyle w:val="20"/>
        <w:tabs>
          <w:tab w:val="right" w:leader="dot" w:pos="8296"/>
        </w:tabs>
        <w:ind w:left="640"/>
        <w:rPr>
          <w:rFonts w:asciiTheme="minorHAnsi" w:eastAsiaTheme="minorEastAsia" w:hAnsiTheme="minorHAnsi"/>
          <w:sz w:val="21"/>
        </w:rPr>
      </w:pPr>
      <w:hyperlink w:anchor="_Toc66093953" w:history="1">
        <w:r w:rsidR="00B767C7">
          <w:rPr>
            <w:rStyle w:val="ac"/>
          </w:rPr>
          <w:t>（四）</w:t>
        </w:r>
        <w:r w:rsidR="00B767C7">
          <w:rPr>
            <w:rStyle w:val="ac"/>
          </w:rPr>
          <w:t xml:space="preserve"> </w:t>
        </w:r>
        <w:r w:rsidR="00B767C7">
          <w:rPr>
            <w:rStyle w:val="ac"/>
          </w:rPr>
          <w:t>数据架构。</w:t>
        </w:r>
        <w:r w:rsidR="00B767C7">
          <w:tab/>
        </w:r>
        <w:r w:rsidR="00B767C7">
          <w:fldChar w:fldCharType="begin"/>
        </w:r>
        <w:r w:rsidR="00B767C7">
          <w:instrText xml:space="preserve"> PAGEREF _Toc66093953 \h </w:instrText>
        </w:r>
        <w:r w:rsidR="00B767C7">
          <w:fldChar w:fldCharType="separate"/>
        </w:r>
        <w:r w:rsidR="00B767C7">
          <w:t>30</w:t>
        </w:r>
        <w:r w:rsidR="00B767C7">
          <w:fldChar w:fldCharType="end"/>
        </w:r>
      </w:hyperlink>
    </w:p>
    <w:p w:rsidR="00E51332" w:rsidRDefault="00175E0D">
      <w:pPr>
        <w:pStyle w:val="20"/>
        <w:tabs>
          <w:tab w:val="right" w:leader="dot" w:pos="8296"/>
        </w:tabs>
        <w:ind w:left="640"/>
        <w:rPr>
          <w:rFonts w:asciiTheme="minorHAnsi" w:eastAsiaTheme="minorEastAsia" w:hAnsiTheme="minorHAnsi"/>
          <w:sz w:val="21"/>
        </w:rPr>
      </w:pPr>
      <w:hyperlink w:anchor="_Toc66093954" w:history="1">
        <w:r w:rsidR="00B767C7">
          <w:rPr>
            <w:rStyle w:val="ac"/>
          </w:rPr>
          <w:t>（五）</w:t>
        </w:r>
        <w:r w:rsidR="00B767C7">
          <w:rPr>
            <w:rStyle w:val="ac"/>
          </w:rPr>
          <w:t xml:space="preserve"> </w:t>
        </w:r>
        <w:r w:rsidR="00B767C7">
          <w:rPr>
            <w:rStyle w:val="ac"/>
          </w:rPr>
          <w:t>安全架构。</w:t>
        </w:r>
        <w:r w:rsidR="00B767C7">
          <w:tab/>
        </w:r>
        <w:r w:rsidR="00B767C7">
          <w:fldChar w:fldCharType="begin"/>
        </w:r>
        <w:r w:rsidR="00B767C7">
          <w:instrText xml:space="preserve"> PAGEREF _Toc66093954 \h </w:instrText>
        </w:r>
        <w:r w:rsidR="00B767C7">
          <w:fldChar w:fldCharType="separate"/>
        </w:r>
        <w:r w:rsidR="00B767C7">
          <w:t>32</w:t>
        </w:r>
        <w:r w:rsidR="00B767C7">
          <w:fldChar w:fldCharType="end"/>
        </w:r>
      </w:hyperlink>
    </w:p>
    <w:p w:rsidR="00E51332" w:rsidRDefault="00175E0D">
      <w:pPr>
        <w:pStyle w:val="10"/>
        <w:rPr>
          <w:rFonts w:asciiTheme="minorHAnsi" w:eastAsiaTheme="minorEastAsia" w:hAnsiTheme="minorHAnsi"/>
          <w:sz w:val="21"/>
          <w:szCs w:val="22"/>
        </w:rPr>
      </w:pPr>
      <w:hyperlink w:anchor="_Toc66093955" w:history="1">
        <w:r w:rsidR="00B767C7">
          <w:rPr>
            <w:rStyle w:val="ac"/>
          </w:rPr>
          <w:t>四、</w:t>
        </w:r>
        <w:r w:rsidR="00B767C7">
          <w:rPr>
            <w:rStyle w:val="ac"/>
          </w:rPr>
          <w:t xml:space="preserve"> </w:t>
        </w:r>
        <w:r w:rsidR="00B767C7">
          <w:rPr>
            <w:rStyle w:val="ac"/>
          </w:rPr>
          <w:t>主要任务</w:t>
        </w:r>
        <w:r w:rsidR="00B767C7">
          <w:tab/>
        </w:r>
        <w:r w:rsidR="00B767C7">
          <w:fldChar w:fldCharType="begin"/>
        </w:r>
        <w:r w:rsidR="00B767C7">
          <w:instrText xml:space="preserve"> PAGEREF _Toc66093955 \h </w:instrText>
        </w:r>
        <w:r w:rsidR="00B767C7">
          <w:fldChar w:fldCharType="separate"/>
        </w:r>
        <w:r w:rsidR="00B767C7">
          <w:t>34</w:t>
        </w:r>
        <w:r w:rsidR="00B767C7">
          <w:fldChar w:fldCharType="end"/>
        </w:r>
      </w:hyperlink>
    </w:p>
    <w:p w:rsidR="00E51332" w:rsidRDefault="00175E0D">
      <w:pPr>
        <w:pStyle w:val="20"/>
        <w:tabs>
          <w:tab w:val="right" w:leader="dot" w:pos="8296"/>
        </w:tabs>
        <w:ind w:left="640"/>
        <w:rPr>
          <w:rFonts w:asciiTheme="minorHAnsi" w:eastAsiaTheme="minorEastAsia" w:hAnsiTheme="minorHAnsi"/>
          <w:sz w:val="21"/>
        </w:rPr>
      </w:pPr>
      <w:hyperlink w:anchor="_Toc66093956" w:history="1">
        <w:r w:rsidR="00B767C7">
          <w:rPr>
            <w:rStyle w:val="ac"/>
          </w:rPr>
          <w:t>（一）</w:t>
        </w:r>
        <w:r w:rsidR="00B767C7">
          <w:rPr>
            <w:rStyle w:val="ac"/>
          </w:rPr>
          <w:t xml:space="preserve"> </w:t>
        </w:r>
        <w:r w:rsidR="00B767C7">
          <w:rPr>
            <w:rStyle w:val="ac"/>
          </w:rPr>
          <w:t>数字惠民，深度开发便民服务应用。</w:t>
        </w:r>
        <w:r w:rsidR="00B767C7">
          <w:tab/>
        </w:r>
        <w:r w:rsidR="00B767C7">
          <w:fldChar w:fldCharType="begin"/>
        </w:r>
        <w:r w:rsidR="00B767C7">
          <w:instrText xml:space="preserve"> PAGEREF _Toc66093956 \h </w:instrText>
        </w:r>
        <w:r w:rsidR="00B767C7">
          <w:fldChar w:fldCharType="separate"/>
        </w:r>
        <w:r w:rsidR="00B767C7">
          <w:t>34</w:t>
        </w:r>
        <w:r w:rsidR="00B767C7">
          <w:fldChar w:fldCharType="end"/>
        </w:r>
      </w:hyperlink>
    </w:p>
    <w:p w:rsidR="00E51332" w:rsidRDefault="00175E0D">
      <w:pPr>
        <w:pStyle w:val="20"/>
        <w:tabs>
          <w:tab w:val="right" w:leader="dot" w:pos="8296"/>
        </w:tabs>
        <w:ind w:left="640"/>
        <w:rPr>
          <w:rFonts w:asciiTheme="minorHAnsi" w:eastAsiaTheme="minorEastAsia" w:hAnsiTheme="minorHAnsi"/>
          <w:sz w:val="21"/>
        </w:rPr>
      </w:pPr>
      <w:hyperlink w:anchor="_Toc66093957" w:history="1">
        <w:r w:rsidR="00B767C7">
          <w:rPr>
            <w:rStyle w:val="ac"/>
          </w:rPr>
          <w:t>（二）</w:t>
        </w:r>
        <w:r w:rsidR="00B767C7">
          <w:rPr>
            <w:rStyle w:val="ac"/>
          </w:rPr>
          <w:t xml:space="preserve"> </w:t>
        </w:r>
        <w:r w:rsidR="00B767C7">
          <w:rPr>
            <w:rStyle w:val="ac"/>
          </w:rPr>
          <w:t>数字慧治，着力打造新型智慧城市。</w:t>
        </w:r>
        <w:r w:rsidR="00B767C7">
          <w:tab/>
        </w:r>
        <w:r w:rsidR="00B767C7">
          <w:fldChar w:fldCharType="begin"/>
        </w:r>
        <w:r w:rsidR="00B767C7">
          <w:instrText xml:space="preserve"> PAGEREF _Toc66093957 \h </w:instrText>
        </w:r>
        <w:r w:rsidR="00B767C7">
          <w:fldChar w:fldCharType="separate"/>
        </w:r>
        <w:r w:rsidR="00B767C7">
          <w:t>48</w:t>
        </w:r>
        <w:r w:rsidR="00B767C7">
          <w:fldChar w:fldCharType="end"/>
        </w:r>
      </w:hyperlink>
    </w:p>
    <w:p w:rsidR="00E51332" w:rsidRDefault="00175E0D">
      <w:pPr>
        <w:pStyle w:val="20"/>
        <w:tabs>
          <w:tab w:val="right" w:leader="dot" w:pos="8296"/>
        </w:tabs>
        <w:ind w:left="640"/>
        <w:rPr>
          <w:rFonts w:asciiTheme="minorHAnsi" w:eastAsiaTheme="minorEastAsia" w:hAnsiTheme="minorHAnsi"/>
          <w:sz w:val="21"/>
        </w:rPr>
      </w:pPr>
      <w:hyperlink w:anchor="_Toc66093958" w:history="1">
        <w:r w:rsidR="00B767C7">
          <w:rPr>
            <w:rStyle w:val="ac"/>
          </w:rPr>
          <w:t>（三）</w:t>
        </w:r>
        <w:r w:rsidR="00B767C7">
          <w:rPr>
            <w:rStyle w:val="ac"/>
          </w:rPr>
          <w:t xml:space="preserve"> </w:t>
        </w:r>
        <w:r w:rsidR="00B767C7">
          <w:rPr>
            <w:rStyle w:val="ac"/>
          </w:rPr>
          <w:t>数字优政，全面构建协同高效政府。</w:t>
        </w:r>
        <w:r w:rsidR="00B767C7">
          <w:tab/>
        </w:r>
        <w:r w:rsidR="00B767C7">
          <w:fldChar w:fldCharType="begin"/>
        </w:r>
        <w:r w:rsidR="00B767C7">
          <w:instrText xml:space="preserve"> PAGEREF _Toc66093958 \h </w:instrText>
        </w:r>
        <w:r w:rsidR="00B767C7">
          <w:fldChar w:fldCharType="separate"/>
        </w:r>
        <w:r w:rsidR="00B767C7">
          <w:t>60</w:t>
        </w:r>
        <w:r w:rsidR="00B767C7">
          <w:fldChar w:fldCharType="end"/>
        </w:r>
      </w:hyperlink>
    </w:p>
    <w:p w:rsidR="00E51332" w:rsidRDefault="00175E0D">
      <w:pPr>
        <w:pStyle w:val="20"/>
        <w:tabs>
          <w:tab w:val="right" w:leader="dot" w:pos="8296"/>
        </w:tabs>
        <w:ind w:left="640"/>
        <w:rPr>
          <w:rFonts w:asciiTheme="minorHAnsi" w:eastAsiaTheme="minorEastAsia" w:hAnsiTheme="minorHAnsi"/>
          <w:sz w:val="21"/>
        </w:rPr>
      </w:pPr>
      <w:hyperlink w:anchor="_Toc66093959" w:history="1">
        <w:r w:rsidR="00B767C7">
          <w:rPr>
            <w:rStyle w:val="ac"/>
          </w:rPr>
          <w:t>（四）</w:t>
        </w:r>
        <w:r w:rsidR="00B767C7">
          <w:rPr>
            <w:rStyle w:val="ac"/>
          </w:rPr>
          <w:t xml:space="preserve"> </w:t>
        </w:r>
        <w:r w:rsidR="00B767C7">
          <w:rPr>
            <w:rStyle w:val="ac"/>
          </w:rPr>
          <w:t>数字赋能，充分开发利用数据资源。</w:t>
        </w:r>
        <w:r w:rsidR="00B767C7">
          <w:tab/>
        </w:r>
        <w:r w:rsidR="00B767C7">
          <w:fldChar w:fldCharType="begin"/>
        </w:r>
        <w:r w:rsidR="00B767C7">
          <w:instrText xml:space="preserve"> PAGEREF _Toc66093959 \h </w:instrText>
        </w:r>
        <w:r w:rsidR="00B767C7">
          <w:fldChar w:fldCharType="separate"/>
        </w:r>
        <w:r w:rsidR="00B767C7">
          <w:t>64</w:t>
        </w:r>
        <w:r w:rsidR="00B767C7">
          <w:fldChar w:fldCharType="end"/>
        </w:r>
      </w:hyperlink>
    </w:p>
    <w:p w:rsidR="00E51332" w:rsidRDefault="00175E0D">
      <w:pPr>
        <w:pStyle w:val="20"/>
        <w:tabs>
          <w:tab w:val="right" w:leader="dot" w:pos="8296"/>
        </w:tabs>
        <w:ind w:left="640"/>
        <w:rPr>
          <w:rFonts w:asciiTheme="minorHAnsi" w:eastAsiaTheme="minorEastAsia" w:hAnsiTheme="minorHAnsi"/>
          <w:sz w:val="21"/>
        </w:rPr>
      </w:pPr>
      <w:hyperlink w:anchor="_Toc66093960" w:history="1">
        <w:r w:rsidR="00B767C7">
          <w:rPr>
            <w:rStyle w:val="ac"/>
          </w:rPr>
          <w:t>（五）</w:t>
        </w:r>
        <w:r w:rsidR="00B767C7">
          <w:rPr>
            <w:rStyle w:val="ac"/>
          </w:rPr>
          <w:t xml:space="preserve"> </w:t>
        </w:r>
        <w:r w:rsidR="00B767C7">
          <w:rPr>
            <w:rStyle w:val="ac"/>
          </w:rPr>
          <w:t>数字强基，强化集约安全基础支撑。</w:t>
        </w:r>
        <w:r w:rsidR="00B767C7">
          <w:tab/>
        </w:r>
        <w:r w:rsidR="00B767C7">
          <w:fldChar w:fldCharType="begin"/>
        </w:r>
        <w:r w:rsidR="00B767C7">
          <w:instrText xml:space="preserve"> PAGEREF _Toc66093960 \h </w:instrText>
        </w:r>
        <w:r w:rsidR="00B767C7">
          <w:fldChar w:fldCharType="separate"/>
        </w:r>
        <w:r w:rsidR="00B767C7">
          <w:t>70</w:t>
        </w:r>
        <w:r w:rsidR="00B767C7">
          <w:fldChar w:fldCharType="end"/>
        </w:r>
      </w:hyperlink>
    </w:p>
    <w:p w:rsidR="00E51332" w:rsidRDefault="00175E0D">
      <w:pPr>
        <w:pStyle w:val="20"/>
        <w:tabs>
          <w:tab w:val="right" w:leader="dot" w:pos="8296"/>
        </w:tabs>
        <w:ind w:left="640"/>
        <w:rPr>
          <w:rFonts w:asciiTheme="minorHAnsi" w:eastAsiaTheme="minorEastAsia" w:hAnsiTheme="minorHAnsi"/>
          <w:sz w:val="21"/>
        </w:rPr>
      </w:pPr>
      <w:hyperlink w:anchor="_Toc66093961" w:history="1">
        <w:r w:rsidR="00B767C7">
          <w:rPr>
            <w:rStyle w:val="ac"/>
          </w:rPr>
          <w:t>（六）</w:t>
        </w:r>
        <w:r w:rsidR="00B767C7">
          <w:rPr>
            <w:rStyle w:val="ac"/>
          </w:rPr>
          <w:t xml:space="preserve"> </w:t>
        </w:r>
        <w:r w:rsidR="00B767C7">
          <w:rPr>
            <w:rStyle w:val="ac"/>
          </w:rPr>
          <w:t>数字驱动，激发高质量新发展动能。</w:t>
        </w:r>
        <w:r w:rsidR="00B767C7">
          <w:tab/>
        </w:r>
        <w:r w:rsidR="00B767C7">
          <w:fldChar w:fldCharType="begin"/>
        </w:r>
        <w:r w:rsidR="00B767C7">
          <w:instrText xml:space="preserve"> PAGEREF _Toc66093961 \h </w:instrText>
        </w:r>
        <w:r w:rsidR="00B767C7">
          <w:fldChar w:fldCharType="separate"/>
        </w:r>
        <w:r w:rsidR="00B767C7">
          <w:t>80</w:t>
        </w:r>
        <w:r w:rsidR="00B767C7">
          <w:fldChar w:fldCharType="end"/>
        </w:r>
      </w:hyperlink>
    </w:p>
    <w:p w:rsidR="00E51332" w:rsidRDefault="00175E0D">
      <w:pPr>
        <w:pStyle w:val="10"/>
        <w:rPr>
          <w:rFonts w:asciiTheme="minorHAnsi" w:eastAsiaTheme="minorEastAsia" w:hAnsiTheme="minorHAnsi"/>
          <w:sz w:val="21"/>
          <w:szCs w:val="22"/>
        </w:rPr>
      </w:pPr>
      <w:hyperlink w:anchor="_Toc66093962" w:history="1">
        <w:r w:rsidR="00B767C7">
          <w:rPr>
            <w:rStyle w:val="ac"/>
          </w:rPr>
          <w:t>五、</w:t>
        </w:r>
        <w:r w:rsidR="00B767C7">
          <w:rPr>
            <w:rStyle w:val="ac"/>
          </w:rPr>
          <w:t xml:space="preserve"> </w:t>
        </w:r>
        <w:r w:rsidR="00B767C7">
          <w:rPr>
            <w:rStyle w:val="ac"/>
          </w:rPr>
          <w:t>保障措施</w:t>
        </w:r>
        <w:r w:rsidR="00B767C7">
          <w:tab/>
        </w:r>
        <w:r w:rsidR="00B767C7">
          <w:fldChar w:fldCharType="begin"/>
        </w:r>
        <w:r w:rsidR="00B767C7">
          <w:instrText xml:space="preserve"> PAGEREF _Toc66093962 \h </w:instrText>
        </w:r>
        <w:r w:rsidR="00B767C7">
          <w:fldChar w:fldCharType="separate"/>
        </w:r>
        <w:r w:rsidR="00B767C7">
          <w:t>86</w:t>
        </w:r>
        <w:r w:rsidR="00B767C7">
          <w:fldChar w:fldCharType="end"/>
        </w:r>
      </w:hyperlink>
    </w:p>
    <w:p w:rsidR="00E51332" w:rsidRDefault="00175E0D">
      <w:pPr>
        <w:pStyle w:val="20"/>
        <w:tabs>
          <w:tab w:val="right" w:leader="dot" w:pos="8296"/>
        </w:tabs>
        <w:ind w:left="640"/>
        <w:rPr>
          <w:rFonts w:asciiTheme="minorHAnsi" w:eastAsiaTheme="minorEastAsia" w:hAnsiTheme="minorHAnsi"/>
          <w:sz w:val="21"/>
        </w:rPr>
      </w:pPr>
      <w:hyperlink w:anchor="_Toc66093963" w:history="1">
        <w:r w:rsidR="00B767C7">
          <w:rPr>
            <w:rStyle w:val="ac"/>
          </w:rPr>
          <w:t>（一）</w:t>
        </w:r>
        <w:r w:rsidR="00B767C7">
          <w:rPr>
            <w:rStyle w:val="ac"/>
          </w:rPr>
          <w:t xml:space="preserve"> </w:t>
        </w:r>
        <w:r w:rsidR="00B767C7">
          <w:rPr>
            <w:rStyle w:val="ac"/>
          </w:rPr>
          <w:t>加强组织领导，健全统筹协调机制。</w:t>
        </w:r>
        <w:r w:rsidR="00B767C7">
          <w:tab/>
        </w:r>
        <w:r w:rsidR="00B767C7">
          <w:fldChar w:fldCharType="begin"/>
        </w:r>
        <w:r w:rsidR="00B767C7">
          <w:instrText xml:space="preserve"> PAGEREF _Toc66093963 \h </w:instrText>
        </w:r>
        <w:r w:rsidR="00B767C7">
          <w:fldChar w:fldCharType="separate"/>
        </w:r>
        <w:r w:rsidR="00B767C7">
          <w:t>86</w:t>
        </w:r>
        <w:r w:rsidR="00B767C7">
          <w:fldChar w:fldCharType="end"/>
        </w:r>
      </w:hyperlink>
    </w:p>
    <w:p w:rsidR="00E51332" w:rsidRDefault="00175E0D">
      <w:pPr>
        <w:pStyle w:val="20"/>
        <w:tabs>
          <w:tab w:val="right" w:leader="dot" w:pos="8296"/>
        </w:tabs>
        <w:ind w:left="640"/>
        <w:rPr>
          <w:rFonts w:asciiTheme="minorHAnsi" w:eastAsiaTheme="minorEastAsia" w:hAnsiTheme="minorHAnsi"/>
          <w:sz w:val="21"/>
        </w:rPr>
      </w:pPr>
      <w:hyperlink w:anchor="_Toc66093964" w:history="1">
        <w:r w:rsidR="00B767C7">
          <w:rPr>
            <w:rStyle w:val="ac"/>
          </w:rPr>
          <w:t>（二）</w:t>
        </w:r>
        <w:r w:rsidR="00B767C7">
          <w:rPr>
            <w:rStyle w:val="ac"/>
          </w:rPr>
          <w:t xml:space="preserve"> </w:t>
        </w:r>
        <w:r w:rsidR="00B767C7">
          <w:rPr>
            <w:rStyle w:val="ac"/>
          </w:rPr>
          <w:t>强化监督管理，落实建设任务责任。</w:t>
        </w:r>
        <w:r w:rsidR="00B767C7">
          <w:tab/>
        </w:r>
        <w:r w:rsidR="00B767C7">
          <w:fldChar w:fldCharType="begin"/>
        </w:r>
        <w:r w:rsidR="00B767C7">
          <w:instrText xml:space="preserve"> PAGEREF _Toc66093964 \h </w:instrText>
        </w:r>
        <w:r w:rsidR="00B767C7">
          <w:fldChar w:fldCharType="separate"/>
        </w:r>
        <w:r w:rsidR="00B767C7">
          <w:t>87</w:t>
        </w:r>
        <w:r w:rsidR="00B767C7">
          <w:fldChar w:fldCharType="end"/>
        </w:r>
      </w:hyperlink>
    </w:p>
    <w:p w:rsidR="00E51332" w:rsidRDefault="00175E0D">
      <w:pPr>
        <w:pStyle w:val="20"/>
        <w:tabs>
          <w:tab w:val="right" w:leader="dot" w:pos="8296"/>
        </w:tabs>
        <w:ind w:left="640"/>
        <w:rPr>
          <w:rFonts w:asciiTheme="minorHAnsi" w:eastAsiaTheme="minorEastAsia" w:hAnsiTheme="minorHAnsi"/>
          <w:sz w:val="21"/>
        </w:rPr>
      </w:pPr>
      <w:hyperlink w:anchor="_Toc66093965" w:history="1">
        <w:r w:rsidR="00B767C7">
          <w:rPr>
            <w:rStyle w:val="ac"/>
          </w:rPr>
          <w:t>（三）</w:t>
        </w:r>
        <w:r w:rsidR="00B767C7">
          <w:rPr>
            <w:rStyle w:val="ac"/>
          </w:rPr>
          <w:t xml:space="preserve"> </w:t>
        </w:r>
        <w:r w:rsidR="00B767C7">
          <w:rPr>
            <w:rStyle w:val="ac"/>
          </w:rPr>
          <w:t>强化资金保障，完善资金管理体系。</w:t>
        </w:r>
        <w:r w:rsidR="00B767C7">
          <w:tab/>
        </w:r>
        <w:r w:rsidR="00B767C7">
          <w:fldChar w:fldCharType="begin"/>
        </w:r>
        <w:r w:rsidR="00B767C7">
          <w:instrText xml:space="preserve"> PAGEREF _Toc66093965 \h </w:instrText>
        </w:r>
        <w:r w:rsidR="00B767C7">
          <w:fldChar w:fldCharType="separate"/>
        </w:r>
        <w:r w:rsidR="00B767C7">
          <w:t>87</w:t>
        </w:r>
        <w:r w:rsidR="00B767C7">
          <w:fldChar w:fldCharType="end"/>
        </w:r>
      </w:hyperlink>
    </w:p>
    <w:p w:rsidR="00E51332" w:rsidRDefault="00175E0D">
      <w:pPr>
        <w:pStyle w:val="20"/>
        <w:tabs>
          <w:tab w:val="right" w:leader="dot" w:pos="8296"/>
        </w:tabs>
        <w:ind w:left="640"/>
        <w:rPr>
          <w:rFonts w:asciiTheme="minorHAnsi" w:eastAsiaTheme="minorEastAsia" w:hAnsiTheme="minorHAnsi"/>
          <w:sz w:val="21"/>
        </w:rPr>
      </w:pPr>
      <w:hyperlink w:anchor="_Toc66093966" w:history="1">
        <w:r w:rsidR="00B767C7">
          <w:rPr>
            <w:rStyle w:val="ac"/>
          </w:rPr>
          <w:t>（四）</w:t>
        </w:r>
        <w:r w:rsidR="00B767C7">
          <w:rPr>
            <w:rStyle w:val="ac"/>
          </w:rPr>
          <w:t xml:space="preserve"> </w:t>
        </w:r>
        <w:r w:rsidR="00B767C7">
          <w:rPr>
            <w:rStyle w:val="ac"/>
          </w:rPr>
          <w:t>完善人才机制，培育人才创新土壤。</w:t>
        </w:r>
        <w:r w:rsidR="00B767C7">
          <w:tab/>
        </w:r>
        <w:r w:rsidR="00B767C7">
          <w:fldChar w:fldCharType="begin"/>
        </w:r>
        <w:r w:rsidR="00B767C7">
          <w:instrText xml:space="preserve"> PAGEREF _Toc66093966 \h </w:instrText>
        </w:r>
        <w:r w:rsidR="00B767C7">
          <w:fldChar w:fldCharType="separate"/>
        </w:r>
        <w:r w:rsidR="00B767C7">
          <w:t>87</w:t>
        </w:r>
        <w:r w:rsidR="00B767C7">
          <w:fldChar w:fldCharType="end"/>
        </w:r>
      </w:hyperlink>
    </w:p>
    <w:p w:rsidR="00E51332" w:rsidRDefault="00175E0D">
      <w:pPr>
        <w:pStyle w:val="20"/>
        <w:tabs>
          <w:tab w:val="right" w:leader="dot" w:pos="8296"/>
        </w:tabs>
        <w:ind w:left="640"/>
        <w:rPr>
          <w:rFonts w:asciiTheme="minorHAnsi" w:eastAsiaTheme="minorEastAsia" w:hAnsiTheme="minorHAnsi"/>
          <w:sz w:val="21"/>
        </w:rPr>
      </w:pPr>
      <w:hyperlink w:anchor="_Toc66093967" w:history="1">
        <w:r w:rsidR="00B767C7">
          <w:rPr>
            <w:rStyle w:val="ac"/>
          </w:rPr>
          <w:t>（五）</w:t>
        </w:r>
        <w:r w:rsidR="00B767C7">
          <w:rPr>
            <w:rStyle w:val="ac"/>
          </w:rPr>
          <w:t xml:space="preserve"> </w:t>
        </w:r>
        <w:r w:rsidR="00B767C7">
          <w:rPr>
            <w:rStyle w:val="ac"/>
          </w:rPr>
          <w:t>加强技术支撑，打造政企共建生态。</w:t>
        </w:r>
        <w:r w:rsidR="00B767C7">
          <w:tab/>
        </w:r>
        <w:r w:rsidR="00B767C7">
          <w:fldChar w:fldCharType="begin"/>
        </w:r>
        <w:r w:rsidR="00B767C7">
          <w:instrText xml:space="preserve"> PAGEREF _Toc66093967 \h </w:instrText>
        </w:r>
        <w:r w:rsidR="00B767C7">
          <w:fldChar w:fldCharType="separate"/>
        </w:r>
        <w:r w:rsidR="00B767C7">
          <w:t>88</w:t>
        </w:r>
        <w:r w:rsidR="00B767C7">
          <w:fldChar w:fldCharType="end"/>
        </w:r>
      </w:hyperlink>
    </w:p>
    <w:p w:rsidR="00E51332" w:rsidRDefault="00175E0D">
      <w:pPr>
        <w:pStyle w:val="20"/>
        <w:tabs>
          <w:tab w:val="right" w:leader="dot" w:pos="8296"/>
        </w:tabs>
        <w:ind w:left="640"/>
        <w:rPr>
          <w:rFonts w:asciiTheme="minorHAnsi" w:eastAsiaTheme="minorEastAsia" w:hAnsiTheme="minorHAnsi"/>
          <w:sz w:val="21"/>
        </w:rPr>
      </w:pPr>
      <w:hyperlink w:anchor="_Toc66093968" w:history="1">
        <w:r w:rsidR="00B767C7">
          <w:rPr>
            <w:rStyle w:val="ac"/>
          </w:rPr>
          <w:t>（六）</w:t>
        </w:r>
        <w:r w:rsidR="00B767C7">
          <w:rPr>
            <w:rStyle w:val="ac"/>
          </w:rPr>
          <w:t xml:space="preserve"> </w:t>
        </w:r>
        <w:r w:rsidR="00B767C7">
          <w:rPr>
            <w:rStyle w:val="ac"/>
          </w:rPr>
          <w:t>加强宣传推广，营造良好建设氛围。</w:t>
        </w:r>
        <w:r w:rsidR="00B767C7">
          <w:tab/>
        </w:r>
        <w:r w:rsidR="00B767C7">
          <w:fldChar w:fldCharType="begin"/>
        </w:r>
        <w:r w:rsidR="00B767C7">
          <w:instrText xml:space="preserve"> PAGEREF _Toc66093968 \h </w:instrText>
        </w:r>
        <w:r w:rsidR="00B767C7">
          <w:fldChar w:fldCharType="separate"/>
        </w:r>
        <w:r w:rsidR="00B767C7">
          <w:t>89</w:t>
        </w:r>
        <w:r w:rsidR="00B767C7">
          <w:fldChar w:fldCharType="end"/>
        </w:r>
      </w:hyperlink>
    </w:p>
    <w:p w:rsidR="00E51332" w:rsidRDefault="00175E0D">
      <w:pPr>
        <w:pStyle w:val="10"/>
        <w:rPr>
          <w:rFonts w:asciiTheme="minorHAnsi" w:eastAsiaTheme="minorEastAsia" w:hAnsiTheme="minorHAnsi"/>
          <w:sz w:val="21"/>
          <w:szCs w:val="22"/>
        </w:rPr>
      </w:pPr>
      <w:hyperlink w:anchor="_Toc66093969" w:history="1">
        <w:r w:rsidR="00B767C7">
          <w:rPr>
            <w:rStyle w:val="ac"/>
          </w:rPr>
          <w:t>附件：</w:t>
        </w:r>
        <w:r w:rsidR="00B767C7">
          <w:tab/>
        </w:r>
        <w:r w:rsidR="00B767C7">
          <w:fldChar w:fldCharType="begin"/>
        </w:r>
        <w:r w:rsidR="00B767C7">
          <w:instrText xml:space="preserve"> PAGEREF _Toc66093969 \h </w:instrText>
        </w:r>
        <w:r w:rsidR="00B767C7">
          <w:fldChar w:fldCharType="separate"/>
        </w:r>
        <w:r w:rsidR="00B767C7">
          <w:t>90</w:t>
        </w:r>
        <w:r w:rsidR="00B767C7">
          <w:fldChar w:fldCharType="end"/>
        </w:r>
      </w:hyperlink>
    </w:p>
    <w:p w:rsidR="00E51332" w:rsidRDefault="00B767C7">
      <w:pPr>
        <w:widowControl/>
        <w:spacing w:line="240" w:lineRule="auto"/>
        <w:ind w:firstLineChars="0" w:firstLine="0"/>
        <w:jc w:val="center"/>
      </w:pPr>
      <w:r>
        <w:rPr>
          <w:rFonts w:ascii="黑体" w:eastAsia="黑体" w:hAnsi="黑体"/>
        </w:rPr>
        <w:fldChar w:fldCharType="end"/>
      </w:r>
    </w:p>
    <w:p w:rsidR="00E51332" w:rsidRDefault="00E51332">
      <w:pPr>
        <w:ind w:firstLine="640"/>
        <w:sectPr w:rsidR="00E51332">
          <w:footerReference w:type="first" r:id="rId17"/>
          <w:pgSz w:w="11906" w:h="16838"/>
          <w:pgMar w:top="1440" w:right="1800" w:bottom="1440" w:left="1800" w:header="851" w:footer="992" w:gutter="0"/>
          <w:pgNumType w:fmt="upperRoman" w:start="1"/>
          <w:cols w:space="425"/>
          <w:titlePg/>
          <w:docGrid w:type="lines" w:linePitch="435"/>
        </w:sectPr>
      </w:pPr>
    </w:p>
    <w:p w:rsidR="00E51332" w:rsidRDefault="00B767C7">
      <w:pPr>
        <w:pStyle w:val="1"/>
        <w:numPr>
          <w:ilvl w:val="0"/>
          <w:numId w:val="0"/>
        </w:numPr>
        <w:jc w:val="center"/>
      </w:pPr>
      <w:bookmarkStart w:id="1" w:name="_Toc66093938"/>
      <w:bookmarkStart w:id="2" w:name="_Toc64903376"/>
      <w:bookmarkStart w:id="3" w:name="_Toc57725740"/>
      <w:r>
        <w:rPr>
          <w:rFonts w:hint="eastAsia"/>
          <w:szCs w:val="32"/>
        </w:rPr>
        <w:lastRenderedPageBreak/>
        <w:t>引</w:t>
      </w:r>
      <w:r>
        <w:rPr>
          <w:szCs w:val="32"/>
        </w:rPr>
        <w:t xml:space="preserve">  </w:t>
      </w:r>
      <w:r>
        <w:rPr>
          <w:rFonts w:hint="eastAsia"/>
          <w:szCs w:val="32"/>
        </w:rPr>
        <w:t>言</w:t>
      </w:r>
      <w:bookmarkEnd w:id="1"/>
      <w:bookmarkEnd w:id="2"/>
    </w:p>
    <w:p w:rsidR="00E51332" w:rsidRDefault="00B767C7">
      <w:pPr>
        <w:ind w:firstLine="640"/>
      </w:pPr>
      <w:r>
        <w:rPr>
          <w:rFonts w:hint="eastAsia"/>
        </w:rPr>
        <w:t>“数字中国”建设是新时代国家信息化发展新战略。数字政府是“数字中国”建设的重要组成部分，是推动“数字中国”改革发展、社会经济高质量发展、再创营商环境新优势的重要抓手和重要引擎。</w:t>
      </w:r>
    </w:p>
    <w:p w:rsidR="00E51332" w:rsidRDefault="00B767C7">
      <w:pPr>
        <w:ind w:firstLine="640"/>
        <w:rPr>
          <w:rFonts w:ascii="仿宋_GB2312" w:hAnsi="仿宋_GB2312" w:cs="仿宋_GB2312"/>
        </w:rPr>
      </w:pPr>
      <w:r>
        <w:rPr>
          <w:rFonts w:hint="eastAsia"/>
        </w:rPr>
        <w:t>党的十九届四中全会提出推进数字政府建设，十九届五中全会审议通过的《中共中央关于制定国民经济和社会发展第十四个五年规划和二</w:t>
      </w:r>
      <w:r>
        <w:rPr>
          <w:rFonts w:ascii="微软雅黑" w:eastAsia="微软雅黑" w:hAnsi="微软雅黑" w:cs="微软雅黑" w:hint="eastAsia"/>
        </w:rPr>
        <w:t>〇</w:t>
      </w:r>
      <w:r>
        <w:rPr>
          <w:rFonts w:ascii="仿宋_GB2312" w:hAnsi="仿宋_GB2312" w:cs="仿宋_GB2312" w:hint="eastAsia"/>
        </w:rPr>
        <w:t>三五年远景目标的建议》明确提出“加强数字社会、数字政府建设，提升公共服务、社会治理等数字化智能化水平”。这是以习近平同志为核心的党中央在全球信息革命的背景下，为实现国家治理体系和治理能力现代化宏伟目标做出的重大战略决策。</w:t>
      </w:r>
    </w:p>
    <w:p w:rsidR="00E51332" w:rsidRDefault="00B767C7">
      <w:pPr>
        <w:ind w:firstLine="640"/>
      </w:pPr>
      <w:r>
        <w:rPr>
          <w:rFonts w:hint="eastAsia"/>
        </w:rPr>
        <w:t>近年来，省委、省政府高度重视数字政府改革建设，</w:t>
      </w:r>
      <w:r>
        <w:rPr>
          <w:rFonts w:hint="eastAsia"/>
        </w:rPr>
        <w:t>2017</w:t>
      </w:r>
      <w:r>
        <w:rPr>
          <w:rFonts w:hint="eastAsia"/>
        </w:rPr>
        <w:t>年我省启动了数字政府改革建设工作，在应用信息化技术提高政务服务能力和行政协同效率等方面取得了良好成果。</w:t>
      </w:r>
      <w:r>
        <w:rPr>
          <w:rFonts w:hint="eastAsia"/>
        </w:rPr>
        <w:t>2018</w:t>
      </w:r>
      <w:r>
        <w:rPr>
          <w:rFonts w:hint="eastAsia"/>
        </w:rPr>
        <w:t>年，我市被省确定为全省“数字政府”综合改革</w:t>
      </w:r>
      <w:r>
        <w:rPr>
          <w:rFonts w:hint="eastAsia"/>
        </w:rPr>
        <w:t>3</w:t>
      </w:r>
      <w:r>
        <w:rPr>
          <w:rFonts w:hint="eastAsia"/>
        </w:rPr>
        <w:t>个试点城市之一，开启了政府数字化转型的生动实践。三年来，江门市数字政府改革建设全面发力、多点突破，呈现出亮点纷呈的繁荣蓬勃景象，圆满完成省赋予试点城市的改革任务，多项改革走在全省乃至全国前列，优化了我市政务服务和营商环境，增强了企业和群众获得感和幸福感，为全省深化“数字政府”改革提供了鲜活的“江门样本”“江门经验”。</w:t>
      </w:r>
    </w:p>
    <w:p w:rsidR="00E51332" w:rsidRDefault="00B767C7">
      <w:pPr>
        <w:ind w:firstLine="640"/>
      </w:pPr>
      <w:r>
        <w:rPr>
          <w:rFonts w:hint="eastAsia"/>
        </w:rPr>
        <w:t>“十四五”期间，江门市作为粤港澳大湾区的重要节点</w:t>
      </w:r>
      <w:r>
        <w:rPr>
          <w:rFonts w:hint="eastAsia"/>
        </w:rPr>
        <w:lastRenderedPageBreak/>
        <w:t>城市，市委、市政府提出江门市的发展要实现与粤港澳大湾区发展战略、广东省“</w:t>
      </w:r>
      <w:proofErr w:type="gramStart"/>
      <w:r>
        <w:rPr>
          <w:rFonts w:hint="eastAsia"/>
        </w:rPr>
        <w:t>一</w:t>
      </w:r>
      <w:proofErr w:type="gramEnd"/>
      <w:r>
        <w:rPr>
          <w:rFonts w:hint="eastAsia"/>
        </w:rPr>
        <w:t>核一带一区”、江门市“三区并进”区域发展格局的高度融合，促进经济发展方式升级、城市治理体系升级、城市服务水平升级，打造珠江西岸新增长</w:t>
      </w:r>
      <w:proofErr w:type="gramStart"/>
      <w:r>
        <w:rPr>
          <w:rFonts w:hint="eastAsia"/>
        </w:rPr>
        <w:t>极</w:t>
      </w:r>
      <w:proofErr w:type="gramEnd"/>
      <w:r>
        <w:rPr>
          <w:rFonts w:hint="eastAsia"/>
        </w:rPr>
        <w:t>和沿海经济带上的江海门户。这一发展目标决定了我市要充分发挥数字政府改革建设对数字化发展的牵引驱动作用，在“十四五”期间，深化云计算、大数据、数字</w:t>
      </w:r>
      <w:proofErr w:type="gramStart"/>
      <w:r>
        <w:rPr>
          <w:rFonts w:hint="eastAsia"/>
        </w:rPr>
        <w:t>孪生等</w:t>
      </w:r>
      <w:proofErr w:type="gramEnd"/>
      <w:r>
        <w:rPr>
          <w:rFonts w:hint="eastAsia"/>
        </w:rPr>
        <w:t>新一代信息技术与政府各领域的融合，塑造社会治理新模式，打造公共服务新范本，释放数字经济新动能，更好服务我市经济社会发展大局。</w:t>
      </w:r>
    </w:p>
    <w:p w:rsidR="00E51332" w:rsidRDefault="00B767C7">
      <w:pPr>
        <w:ind w:firstLine="640"/>
        <w:sectPr w:rsidR="00E51332">
          <w:pgSz w:w="11906" w:h="16838"/>
          <w:pgMar w:top="1440" w:right="1800" w:bottom="1440" w:left="1800" w:header="851" w:footer="992" w:gutter="0"/>
          <w:pgNumType w:start="1"/>
          <w:cols w:space="425"/>
          <w:docGrid w:type="lines" w:linePitch="312"/>
        </w:sectPr>
      </w:pPr>
      <w:r>
        <w:rPr>
          <w:rFonts w:hint="eastAsia"/>
        </w:rPr>
        <w:t>为进一步明确“十四五”期间江门市数字政府改革建设的目标、架构、任务、实施步骤和保障措施，更好指导全市开展数字政府建设工作，依据国家相关战略部署和《广东省数字政府改革建设“十四五”规划》《江门市国民经济和社会发展第十四个五年规划纲要》等文件要求，编制本规划。本规划是“十四五”时期指导全市数字政府改革建设和新型智慧城市建设的纲领性文件，规划基期为</w:t>
      </w:r>
      <w:r>
        <w:rPr>
          <w:rFonts w:hint="eastAsia"/>
        </w:rPr>
        <w:t>2020</w:t>
      </w:r>
      <w:r>
        <w:rPr>
          <w:rFonts w:hint="eastAsia"/>
        </w:rPr>
        <w:t>年，规划期限为</w:t>
      </w:r>
      <w:r>
        <w:rPr>
          <w:rFonts w:hint="eastAsia"/>
        </w:rPr>
        <w:t>2021</w:t>
      </w:r>
      <w:r>
        <w:rPr>
          <w:rFonts w:hint="eastAsia"/>
        </w:rPr>
        <w:t>—</w:t>
      </w:r>
      <w:r>
        <w:rPr>
          <w:rFonts w:hint="eastAsia"/>
        </w:rPr>
        <w:t>2025</w:t>
      </w:r>
      <w:r>
        <w:rPr>
          <w:rFonts w:hint="eastAsia"/>
        </w:rPr>
        <w:t>年。</w:t>
      </w:r>
    </w:p>
    <w:p w:rsidR="00E51332" w:rsidRDefault="00B767C7">
      <w:pPr>
        <w:pStyle w:val="1"/>
        <w:jc w:val="center"/>
      </w:pPr>
      <w:bookmarkStart w:id="4" w:name="_Toc66093939"/>
      <w:bookmarkStart w:id="5" w:name="_Toc64903377"/>
      <w:r>
        <w:rPr>
          <w:rFonts w:hint="eastAsia"/>
        </w:rPr>
        <w:lastRenderedPageBreak/>
        <w:t>规划背景和现状</w:t>
      </w:r>
      <w:bookmarkEnd w:id="3"/>
      <w:bookmarkEnd w:id="4"/>
      <w:bookmarkEnd w:id="5"/>
    </w:p>
    <w:p w:rsidR="00E51332" w:rsidRDefault="00B767C7">
      <w:pPr>
        <w:pStyle w:val="2"/>
        <w:spacing w:before="156" w:after="156"/>
        <w:ind w:firstLine="640"/>
      </w:pPr>
      <w:bookmarkStart w:id="6" w:name="_Toc64903378"/>
      <w:bookmarkStart w:id="7" w:name="_Toc66093940"/>
      <w:r>
        <w:rPr>
          <w:rFonts w:hint="eastAsia"/>
        </w:rPr>
        <w:t>发展现状。</w:t>
      </w:r>
      <w:bookmarkEnd w:id="6"/>
      <w:bookmarkEnd w:id="7"/>
    </w:p>
    <w:p w:rsidR="00E51332" w:rsidRDefault="00B767C7">
      <w:pPr>
        <w:ind w:firstLine="640"/>
      </w:pPr>
      <w:r>
        <w:rPr>
          <w:rFonts w:hint="eastAsia"/>
        </w:rPr>
        <w:t>近年来，我市认真贯彻习近平总书记对广东重要讲话和指示批示精神，全力推动数字政府综合改革试点工作，在优化政务环境、营商环境上持续发力，在便利企业、群众办事上下功夫，充分运用云计算、大数据等新技术手段进行实践探索，“政务服务一网一门</w:t>
      </w:r>
      <w:proofErr w:type="gramStart"/>
      <w:r>
        <w:rPr>
          <w:rFonts w:hint="eastAsia"/>
        </w:rPr>
        <w:t>一</w:t>
      </w:r>
      <w:proofErr w:type="gramEnd"/>
      <w:r>
        <w:rPr>
          <w:rFonts w:hint="eastAsia"/>
        </w:rPr>
        <w:t>窗式改革”“商事制度改革”“不动产交易登记服务”和“政务信息化集约管理”等领域多项改革走在全省乃至全国前列，有效推进数字政府改革建设和应用取得了新进展。</w:t>
      </w:r>
      <w:r>
        <w:t xml:space="preserve"> </w:t>
      </w:r>
    </w:p>
    <w:p w:rsidR="00E51332" w:rsidRDefault="00B767C7">
      <w:pPr>
        <w:pStyle w:val="3"/>
        <w:ind w:firstLine="643"/>
      </w:pPr>
      <w:r>
        <w:rPr>
          <w:rFonts w:hint="eastAsia"/>
        </w:rPr>
        <w:t>数字政府体制机制初步健全。</w:t>
      </w:r>
    </w:p>
    <w:p w:rsidR="00E51332" w:rsidRDefault="00B767C7">
      <w:pPr>
        <w:ind w:firstLine="640"/>
      </w:pPr>
      <w:r>
        <w:rPr>
          <w:rFonts w:hint="eastAsia"/>
        </w:rPr>
        <w:t>数字政府改革建设纳入</w:t>
      </w:r>
      <w:proofErr w:type="gramStart"/>
      <w:r>
        <w:rPr>
          <w:rFonts w:hint="eastAsia"/>
        </w:rPr>
        <w:t>省深改委</w:t>
      </w:r>
      <w:proofErr w:type="gramEnd"/>
      <w:r>
        <w:rPr>
          <w:rFonts w:hint="eastAsia"/>
        </w:rPr>
        <w:t>部署的创造性、引领性的重大改革任务，根据“全省一盘棋”数字政府改革建设工作部署，成立了江门市“数字政府”综合改革试点工作领导小组，全面加强数字政府改革建设的统筹领导。成立了市、县两级政务服务数据管理局，形成全市政务信息化统一规划、统一管理格局。统筹建设全新型管理机构，推动组建成立国资主导的数字江门网络建设有限公司，支撑数字政府建设项目的落地实施。组建了数字政府改革建设专家库，提供高水平的决策咨询和技术支撑。建立健全政务信息化服务项目管理办法，对全市政务信息化项目实行统一规划、统一标准、统一实施、统一监督，改革建设工作整体协同推进的“一盘</w:t>
      </w:r>
      <w:r>
        <w:rPr>
          <w:rFonts w:hint="eastAsia"/>
        </w:rPr>
        <w:lastRenderedPageBreak/>
        <w:t>棋”工作机制初步形成。</w:t>
      </w:r>
    </w:p>
    <w:p w:rsidR="00E51332" w:rsidRDefault="00B767C7">
      <w:pPr>
        <w:pStyle w:val="3"/>
        <w:ind w:firstLine="643"/>
      </w:pPr>
      <w:r>
        <w:rPr>
          <w:rFonts w:hint="eastAsia"/>
        </w:rPr>
        <w:t>一体化基础支撑能力显著提升。</w:t>
      </w:r>
    </w:p>
    <w:p w:rsidR="00E51332" w:rsidRDefault="00B767C7">
      <w:pPr>
        <w:ind w:firstLine="640"/>
      </w:pPr>
      <w:r>
        <w:rPr>
          <w:rFonts w:hint="eastAsia"/>
        </w:rPr>
        <w:t>建成和启用广东“数字政府”政务云江门节点，整合我市自建云、外包云、卫计云等电子政务云平台，政务云运算能力达到</w:t>
      </w:r>
      <w:r w:rsidRPr="002B59AE">
        <w:t>31593</w:t>
      </w:r>
      <w:r>
        <w:rPr>
          <w:rFonts w:hint="eastAsia"/>
        </w:rPr>
        <w:t>核，内存总量</w:t>
      </w:r>
      <w:r w:rsidRPr="002B59AE">
        <w:t>63638</w:t>
      </w:r>
      <w:r>
        <w:rPr>
          <w:rFonts w:hint="eastAsia"/>
        </w:rPr>
        <w:t>GB</w:t>
      </w:r>
      <w:r>
        <w:rPr>
          <w:rFonts w:hint="eastAsia"/>
        </w:rPr>
        <w:t>，存储总量</w:t>
      </w:r>
      <w:r w:rsidRPr="002B59AE">
        <w:t>1985</w:t>
      </w:r>
      <w:r>
        <w:rPr>
          <w:rFonts w:hint="eastAsia"/>
        </w:rPr>
        <w:t>TB</w:t>
      </w:r>
      <w:r>
        <w:rPr>
          <w:rFonts w:hint="eastAsia"/>
        </w:rPr>
        <w:t>及</w:t>
      </w:r>
      <w:r>
        <w:rPr>
          <w:rFonts w:hint="eastAsia"/>
        </w:rPr>
        <w:t>489 TB</w:t>
      </w:r>
      <w:r>
        <w:rPr>
          <w:rFonts w:hint="eastAsia"/>
        </w:rPr>
        <w:t>容灾备份，支撑部门业务应用、政府网站</w:t>
      </w:r>
      <w:r w:rsidRPr="002B59AE">
        <w:t>651</w:t>
      </w:r>
      <w:r>
        <w:rPr>
          <w:rFonts w:hint="eastAsia"/>
        </w:rPr>
        <w:t>个。建成江门市政务信息资源共享交换平台，完成了法人、自然人、地理信息、事项信息等基础信息库和涉税、信用、工业等主题库建设，“政务数据资源中心”初见规模。启动新型智慧城市综合运行管理平台（一期）集约化建设，统筹建设公安“二标四实”、政法“综合网格”、应急综合管理、卫健“</w:t>
      </w:r>
      <w:r>
        <w:rPr>
          <w:rFonts w:hint="eastAsia"/>
        </w:rPr>
        <w:t>120</w:t>
      </w:r>
      <w:r>
        <w:rPr>
          <w:rFonts w:hint="eastAsia"/>
        </w:rPr>
        <w:t>医学紧急救援”等多个城市管理平台建设，为打通部门信息系统，破除数据孤岛，促进基础业务平台一体化建设提供有力支撑。</w:t>
      </w:r>
    </w:p>
    <w:p w:rsidR="00E51332" w:rsidRDefault="00B767C7">
      <w:pPr>
        <w:pStyle w:val="3"/>
        <w:ind w:firstLine="643"/>
      </w:pPr>
      <w:r>
        <w:rPr>
          <w:rFonts w:hint="eastAsia"/>
        </w:rPr>
        <w:t>政务服务成效亮点突出。</w:t>
      </w:r>
    </w:p>
    <w:p w:rsidR="00E51332" w:rsidRDefault="00B767C7">
      <w:pPr>
        <w:ind w:firstLine="640"/>
      </w:pPr>
      <w:r>
        <w:rPr>
          <w:rFonts w:hint="eastAsia"/>
        </w:rPr>
        <w:t>建设了全市一体化政务服务平台，全市</w:t>
      </w:r>
      <w:r w:rsidRPr="002B59AE">
        <w:t>15202</w:t>
      </w:r>
      <w:r>
        <w:rPr>
          <w:rFonts w:hint="eastAsia"/>
        </w:rPr>
        <w:t>项政务服务事项</w:t>
      </w:r>
      <w:proofErr w:type="gramStart"/>
      <w:r>
        <w:rPr>
          <w:rFonts w:hint="eastAsia"/>
        </w:rPr>
        <w:t>实现线</w:t>
      </w:r>
      <w:proofErr w:type="gramEnd"/>
      <w:r>
        <w:rPr>
          <w:rFonts w:hint="eastAsia"/>
        </w:rPr>
        <w:t>上线下多渠道办理，全市城乡</w:t>
      </w:r>
      <w:r w:rsidRPr="002B59AE">
        <w:t>1380</w:t>
      </w:r>
      <w:r>
        <w:rPr>
          <w:rFonts w:hint="eastAsia"/>
        </w:rPr>
        <w:t>个政务服务大厅的一窗受理率达</w:t>
      </w:r>
      <w:r>
        <w:rPr>
          <w:rFonts w:hint="eastAsia"/>
        </w:rPr>
        <w:t>100%</w:t>
      </w:r>
      <w:r>
        <w:rPr>
          <w:rFonts w:hint="eastAsia"/>
        </w:rPr>
        <w:t>，“一网通办”指标居全省前列，基本实现了“一门”“一网”线上线下融合办理。线下服务更加便利高效，创新开设“政银通办”服务专区，推动“侨都之窗”自助终端城乡全覆盖，为群众打造身边“微型政务服务大厅”，打通服务群众最后一公里难题，城乡服务基本实现“就近办”。设立“重大项目导办帮办窗口”，对重大项</w:t>
      </w:r>
      <w:r>
        <w:rPr>
          <w:rFonts w:hint="eastAsia"/>
        </w:rPr>
        <w:lastRenderedPageBreak/>
        <w:t>目实行个性化全流程跟踪、以“</w:t>
      </w:r>
      <w:r>
        <w:rPr>
          <w:rFonts w:hint="eastAsia"/>
        </w:rPr>
        <w:t>VIP</w:t>
      </w:r>
      <w:r>
        <w:rPr>
          <w:rFonts w:hint="eastAsia"/>
        </w:rPr>
        <w:t>”服务提升企业办事满意度。线上服务扩容提效，依托“粤系列”平台、“江门易办事”</w:t>
      </w:r>
      <w:r>
        <w:rPr>
          <w:rFonts w:hint="eastAsia"/>
        </w:rPr>
        <w:t>App</w:t>
      </w:r>
      <w:r>
        <w:rPr>
          <w:rFonts w:hint="eastAsia"/>
        </w:rPr>
        <w:t>，推动政务服务“指尖办、随时办”。</w:t>
      </w:r>
    </w:p>
    <w:p w:rsidR="00E51332" w:rsidRDefault="00B767C7">
      <w:pPr>
        <w:pStyle w:val="3"/>
        <w:ind w:firstLine="643"/>
      </w:pPr>
      <w:r>
        <w:rPr>
          <w:rFonts w:hint="eastAsia"/>
        </w:rPr>
        <w:t>各领域创新应用特色鲜明。</w:t>
      </w:r>
    </w:p>
    <w:p w:rsidR="00E51332" w:rsidRDefault="00B767C7">
      <w:pPr>
        <w:ind w:firstLine="643"/>
      </w:pPr>
      <w:r>
        <w:rPr>
          <w:rFonts w:hint="eastAsia"/>
          <w:b/>
          <w:bCs/>
        </w:rPr>
        <w:t>一是工程建设项目审批改革取得实质性突破</w:t>
      </w:r>
      <w:r>
        <w:rPr>
          <w:rFonts w:hint="eastAsia"/>
        </w:rPr>
        <w:t>。以自主开发综合审批平台为支撑，集中出台</w:t>
      </w:r>
      <w:r w:rsidRPr="002B59AE">
        <w:t>29</w:t>
      </w:r>
      <w:r>
        <w:rPr>
          <w:rFonts w:hint="eastAsia"/>
        </w:rPr>
        <w:t>份配套文件，力推流程简化，系统上线一年来，共办理申报事项</w:t>
      </w:r>
      <w:r w:rsidRPr="002B59AE">
        <w:t>9337</w:t>
      </w:r>
      <w:r>
        <w:rPr>
          <w:rFonts w:hint="eastAsia"/>
        </w:rPr>
        <w:t>项，项目平均审批用时由原来</w:t>
      </w:r>
      <w:r>
        <w:rPr>
          <w:rFonts w:hint="eastAsia"/>
        </w:rPr>
        <w:t>391</w:t>
      </w:r>
      <w:r>
        <w:rPr>
          <w:rFonts w:hint="eastAsia"/>
        </w:rPr>
        <w:t>天压缩至</w:t>
      </w:r>
      <w:r>
        <w:rPr>
          <w:rFonts w:hint="eastAsia"/>
        </w:rPr>
        <w:t>28</w:t>
      </w:r>
      <w:r>
        <w:rPr>
          <w:rFonts w:hint="eastAsia"/>
        </w:rPr>
        <w:t>天，“拿地即开工”逐步走向常态化。</w:t>
      </w:r>
    </w:p>
    <w:p w:rsidR="00E51332" w:rsidRDefault="00B767C7">
      <w:pPr>
        <w:ind w:firstLine="643"/>
      </w:pPr>
      <w:r>
        <w:rPr>
          <w:rFonts w:hint="eastAsia"/>
          <w:b/>
          <w:bCs/>
        </w:rPr>
        <w:t>二是“微信</w:t>
      </w:r>
      <w:r>
        <w:rPr>
          <w:rFonts w:hint="eastAsia"/>
          <w:b/>
          <w:bCs/>
        </w:rPr>
        <w:t>+</w:t>
      </w:r>
      <w:r>
        <w:rPr>
          <w:rFonts w:hint="eastAsia"/>
          <w:b/>
          <w:bCs/>
        </w:rPr>
        <w:t>智能”模式持续深化拓展</w:t>
      </w:r>
      <w:r>
        <w:rPr>
          <w:rFonts w:hint="eastAsia"/>
        </w:rPr>
        <w:t>。率先</w:t>
      </w:r>
      <w:proofErr w:type="gramStart"/>
      <w:r>
        <w:rPr>
          <w:rFonts w:hint="eastAsia"/>
        </w:rPr>
        <w:t>推出商</w:t>
      </w:r>
      <w:proofErr w:type="gramEnd"/>
      <w:r>
        <w:rPr>
          <w:rFonts w:hint="eastAsia"/>
        </w:rPr>
        <w:t>事登记“微信</w:t>
      </w:r>
      <w:r>
        <w:rPr>
          <w:rFonts w:hint="eastAsia"/>
        </w:rPr>
        <w:t>+</w:t>
      </w:r>
      <w:r>
        <w:rPr>
          <w:rFonts w:hint="eastAsia"/>
        </w:rPr>
        <w:t>智能审批办理”后，突破港澳身份认证难题，在全国率先推出“智能湾区通”服务。同时，探索延伸</w:t>
      </w:r>
      <w:proofErr w:type="gramStart"/>
      <w:r>
        <w:rPr>
          <w:rFonts w:hint="eastAsia"/>
        </w:rPr>
        <w:t>至经营</w:t>
      </w:r>
      <w:proofErr w:type="gramEnd"/>
      <w:r>
        <w:rPr>
          <w:rFonts w:hint="eastAsia"/>
        </w:rPr>
        <w:t>领域，在全国率先实现《食品经营许可证》核发、变更、延续、注销智能化审批。</w:t>
      </w:r>
    </w:p>
    <w:p w:rsidR="00E51332" w:rsidRDefault="00B767C7">
      <w:pPr>
        <w:ind w:firstLine="643"/>
      </w:pPr>
      <w:r>
        <w:rPr>
          <w:rFonts w:hint="eastAsia"/>
          <w:b/>
          <w:bCs/>
        </w:rPr>
        <w:t>三是不动产登记突破税证联办“智能秒办”。</w:t>
      </w:r>
      <w:r>
        <w:rPr>
          <w:rFonts w:hint="eastAsia"/>
        </w:rPr>
        <w:t>率先开发应用“税证联办”智能计税系统，以全链条电子合同、电子签章等新技术，推动部门数据实时共享交换，实现不动产交易</w:t>
      </w:r>
      <w:proofErr w:type="gramStart"/>
      <w:r>
        <w:rPr>
          <w:rFonts w:hint="eastAsia"/>
        </w:rPr>
        <w:t>增量房</w:t>
      </w:r>
      <w:proofErr w:type="gramEnd"/>
      <w:r>
        <w:rPr>
          <w:rFonts w:hint="eastAsia"/>
        </w:rPr>
        <w:t>登记“零跑动”“零材料”和全程减至</w:t>
      </w:r>
      <w:r>
        <w:rPr>
          <w:rFonts w:hint="eastAsia"/>
        </w:rPr>
        <w:t>10</w:t>
      </w:r>
      <w:r>
        <w:rPr>
          <w:rFonts w:hint="eastAsia"/>
        </w:rPr>
        <w:t>分钟。同时，江门市“政银区块链”正式上线，在全省率先实现房屋交易“云链签”和基于区块链技术的银行公证业务办理。</w:t>
      </w:r>
    </w:p>
    <w:p w:rsidR="00E51332" w:rsidRDefault="00B767C7">
      <w:pPr>
        <w:ind w:firstLine="643"/>
      </w:pPr>
      <w:r>
        <w:rPr>
          <w:rFonts w:hint="eastAsia"/>
          <w:b/>
          <w:bCs/>
        </w:rPr>
        <w:t>四是“互联网</w:t>
      </w:r>
      <w:r>
        <w:rPr>
          <w:rFonts w:hint="eastAsia"/>
          <w:b/>
          <w:bCs/>
        </w:rPr>
        <w:t>+</w:t>
      </w:r>
      <w:r>
        <w:rPr>
          <w:rFonts w:hint="eastAsia"/>
          <w:b/>
          <w:bCs/>
        </w:rPr>
        <w:t>监管”走在全省前列</w:t>
      </w:r>
      <w:r>
        <w:rPr>
          <w:rFonts w:hint="eastAsia"/>
        </w:rPr>
        <w:t>。全省率先实施“广东省行政执法信息平台和行政执法网络监督平台”（简称“两平台”）省市一体化部署，推动全过程“无纸化”网上办案。</w:t>
      </w:r>
      <w:r>
        <w:rPr>
          <w:rFonts w:hint="eastAsia"/>
        </w:rPr>
        <w:lastRenderedPageBreak/>
        <w:t>“联动监管</w:t>
      </w:r>
      <w:r>
        <w:rPr>
          <w:rFonts w:hint="eastAsia"/>
        </w:rPr>
        <w:t>+</w:t>
      </w:r>
      <w:r>
        <w:rPr>
          <w:rFonts w:hint="eastAsia"/>
        </w:rPr>
        <w:t>综合执法”模式处于全国地市级层面领先地位。</w:t>
      </w:r>
    </w:p>
    <w:p w:rsidR="00E51332" w:rsidRDefault="00B767C7">
      <w:pPr>
        <w:ind w:firstLine="643"/>
      </w:pPr>
      <w:r>
        <w:rPr>
          <w:rFonts w:hint="eastAsia"/>
          <w:b/>
          <w:bCs/>
        </w:rPr>
        <w:t>五是侨务服务率先实现“湾区通办”</w:t>
      </w:r>
      <w:r>
        <w:rPr>
          <w:rFonts w:hint="eastAsia"/>
        </w:rPr>
        <w:t>。率先实现侨务服务“湾区通办”，搭建“一站式”涉侨服务平台，港澳同胞、华侨华人</w:t>
      </w:r>
      <w:r>
        <w:rPr>
          <w:rFonts w:hint="eastAsia"/>
        </w:rPr>
        <w:t>46</w:t>
      </w:r>
      <w:r>
        <w:rPr>
          <w:rFonts w:hint="eastAsia"/>
        </w:rPr>
        <w:t>项服务实现全程自助办、湾区跨城通办，</w:t>
      </w:r>
      <w:r>
        <w:t>357</w:t>
      </w:r>
      <w:r>
        <w:rPr>
          <w:rFonts w:hint="eastAsia"/>
        </w:rPr>
        <w:t>项政务服务事项实现港澳跨境通办。此外，依托数据共享支撑，在全国首个上线新版公租房信息系统，解决了低收入群体公租房申请慢难题。</w:t>
      </w:r>
    </w:p>
    <w:p w:rsidR="00E51332" w:rsidRDefault="00B767C7">
      <w:pPr>
        <w:pStyle w:val="2"/>
        <w:spacing w:before="156" w:after="156"/>
        <w:ind w:firstLine="640"/>
      </w:pPr>
      <w:bookmarkStart w:id="8" w:name="_Toc64903379"/>
      <w:bookmarkStart w:id="9" w:name="_Toc66093941"/>
      <w:bookmarkStart w:id="10" w:name="_Toc57725755"/>
      <w:r>
        <w:rPr>
          <w:rFonts w:hint="eastAsia"/>
        </w:rPr>
        <w:t>存在问题。</w:t>
      </w:r>
      <w:bookmarkEnd w:id="8"/>
      <w:bookmarkEnd w:id="9"/>
    </w:p>
    <w:p w:rsidR="00E51332" w:rsidRDefault="00B767C7">
      <w:pPr>
        <w:pStyle w:val="3"/>
        <w:ind w:firstLine="643"/>
      </w:pPr>
      <w:r>
        <w:rPr>
          <w:rFonts w:hint="eastAsia"/>
        </w:rPr>
        <w:t>“全市一盘棋”工作机制有待完善。</w:t>
      </w:r>
    </w:p>
    <w:p w:rsidR="00E51332" w:rsidRDefault="00B767C7">
      <w:pPr>
        <w:ind w:firstLine="640"/>
      </w:pPr>
      <w:r>
        <w:rPr>
          <w:rFonts w:hint="eastAsia"/>
        </w:rPr>
        <w:t>目前我市数字政府改革建设工作主要由市政务服务数据管理局负责，各部门在行政、业务、技术等层面的紧密结合格局还未能形成。全市层面还欠缺一整套数字政府改革建设指导监督机制，仅限于按照国家、省相关要求制定的制度和办法等，缺少可量化的要素、指标作为抓手，难以对数字政府改革建设工作及其成效进行全面监督、指导和评估。数字江门公司属地国企优势发挥不足，优秀人才引入机制有待优化、技术支撑能力和核心竞争力项目管理体系、生态合作体系有待完善。</w:t>
      </w:r>
    </w:p>
    <w:p w:rsidR="00E51332" w:rsidRDefault="00B767C7">
      <w:pPr>
        <w:pStyle w:val="3"/>
        <w:ind w:firstLine="643"/>
      </w:pPr>
      <w:r>
        <w:rPr>
          <w:rFonts w:hint="eastAsia"/>
        </w:rPr>
        <w:t>改革成果</w:t>
      </w:r>
      <w:proofErr w:type="gramStart"/>
      <w:r>
        <w:rPr>
          <w:rFonts w:hint="eastAsia"/>
        </w:rPr>
        <w:t>获得感需进一步</w:t>
      </w:r>
      <w:proofErr w:type="gramEnd"/>
      <w:r>
        <w:rPr>
          <w:rFonts w:hint="eastAsia"/>
        </w:rPr>
        <w:t>提高。</w:t>
      </w:r>
    </w:p>
    <w:p w:rsidR="00E51332" w:rsidRDefault="00B767C7">
      <w:pPr>
        <w:ind w:firstLine="640"/>
      </w:pPr>
      <w:r>
        <w:rPr>
          <w:rFonts w:hint="eastAsia"/>
        </w:rPr>
        <w:t>在政务服务领域，对</w:t>
      </w:r>
      <w:proofErr w:type="gramStart"/>
      <w:r>
        <w:rPr>
          <w:rFonts w:hint="eastAsia"/>
        </w:rPr>
        <w:t>标先进</w:t>
      </w:r>
      <w:proofErr w:type="gramEnd"/>
      <w:r>
        <w:rPr>
          <w:rFonts w:hint="eastAsia"/>
        </w:rPr>
        <w:t>地市，政务服务事项标准化、流程优化再造等方面仍有差距，存量电子证照签发量不足、数据质量不高，电子材料和数据共享应用不足，群众和企业</w:t>
      </w:r>
      <w:r>
        <w:rPr>
          <w:rFonts w:hint="eastAsia"/>
        </w:rPr>
        <w:lastRenderedPageBreak/>
        <w:t>办事仍需要准备各类证明、材料。在企业服务领域，无法提供企业生命全周期服务。在公共服务领域，包括教育、医疗、人社、住建和交通等领域，各部门主要以国家和省直部门垂直系统为主，本地化特色创新应用不够，无法发挥数据价值。</w:t>
      </w:r>
    </w:p>
    <w:p w:rsidR="00E51332" w:rsidRDefault="00B767C7">
      <w:pPr>
        <w:pStyle w:val="3"/>
        <w:ind w:firstLine="643"/>
      </w:pPr>
      <w:r>
        <w:rPr>
          <w:rFonts w:hint="eastAsia"/>
        </w:rPr>
        <w:t>各领域数字化管理能力仍需提升。</w:t>
      </w:r>
    </w:p>
    <w:p w:rsidR="00E51332" w:rsidRDefault="00B767C7">
      <w:pPr>
        <w:ind w:firstLine="640"/>
      </w:pPr>
      <w:r>
        <w:rPr>
          <w:rFonts w:hint="eastAsia"/>
        </w:rPr>
        <w:t>个别部门对业务整合、流程再造、数据共享等缺乏足够认识，数字政府共建共治共享理念仍需强化，系统分散建设、整合程度不高，没有从业务的视角，将涉及到的多个事项整合联办。在政府运行领域，协同办公平台推广部署需进一步加强，办文、办会、审批等高频行政活动未实现高度协同、上下联动的跨部门、跨层级办理，各地各部门之间的信息流转效率存在较大的提升空间。在政府治理领域，精细化、智能化的治理平台系统尚未完全建立，各类态势感知网络有待健全，风险监测预警能力仍需加强，支撑各部门开展共同治理、联合监管的数据共享程度仍不高。</w:t>
      </w:r>
    </w:p>
    <w:p w:rsidR="00E51332" w:rsidRDefault="00B767C7">
      <w:pPr>
        <w:pStyle w:val="3"/>
        <w:ind w:firstLine="643"/>
      </w:pPr>
      <w:r>
        <w:rPr>
          <w:rFonts w:hint="eastAsia"/>
        </w:rPr>
        <w:t>数据资源开发利用水平亟待提高。</w:t>
      </w:r>
    </w:p>
    <w:p w:rsidR="00E51332" w:rsidRDefault="00B767C7">
      <w:pPr>
        <w:ind w:firstLine="640"/>
      </w:pPr>
      <w:r>
        <w:rPr>
          <w:rFonts w:hint="eastAsia"/>
        </w:rPr>
        <w:t>数据资源分散严重、共享需求迫切，各职能部门政务信息系统以国家和省垂直系统为主，相关业务数据存放在国家和省级部门，本地沉淀数据少，公共数据资源不完整，部门参与数据治理积极性不够，数据标准和应用价值不高，导致数据难以汇集共享，业务难以协同联动。全市数据统筹工作制度仍未健全，数据标准不一，质量规范不一，数据共享仍未能完全满足业务需要。未建立良性的数据共享和反馈机制，</w:t>
      </w:r>
      <w:r>
        <w:rPr>
          <w:rFonts w:hint="eastAsia"/>
        </w:rPr>
        <w:lastRenderedPageBreak/>
        <w:t>全市各职能部门业务数据共享仍以部门间协调为主，未形成全市统一的数据共享和反馈机制。全市数据采集、汇聚、清洗的机制和标准仍不健全，政务数据更新机制还有待提高，数据治理以各职能部门自治为主，缺少全市层面的、以应用为牵引的业务、系统、数据梳理和整合，数据质量难以保障，难以充分发挥政务数据的潜在价值。</w:t>
      </w:r>
    </w:p>
    <w:p w:rsidR="00E51332" w:rsidRDefault="00B767C7">
      <w:pPr>
        <w:pStyle w:val="3"/>
        <w:ind w:firstLine="643"/>
      </w:pPr>
      <w:r>
        <w:rPr>
          <w:rFonts w:hint="eastAsia"/>
        </w:rPr>
        <w:t>基础设施智能化程度需进一步强化。</w:t>
      </w:r>
    </w:p>
    <w:p w:rsidR="00E51332" w:rsidRDefault="00B767C7">
      <w:pPr>
        <w:ind w:firstLine="640"/>
      </w:pPr>
      <w:r>
        <w:rPr>
          <w:rFonts w:hint="eastAsia"/>
        </w:rPr>
        <w:t>全市</w:t>
      </w:r>
      <w:r>
        <w:t>3</w:t>
      </w:r>
      <w:r>
        <w:rPr>
          <w:rFonts w:hint="eastAsia"/>
        </w:rPr>
        <w:t>0%</w:t>
      </w:r>
      <w:r>
        <w:rPr>
          <w:rFonts w:hint="eastAsia"/>
        </w:rPr>
        <w:t>的市直部门自建机房，基础设施资源整合能力有待提高。市</w:t>
      </w:r>
      <w:r>
        <w:t>政务</w:t>
      </w:r>
      <w:proofErr w:type="gramStart"/>
      <w:r>
        <w:t>云</w:t>
      </w:r>
      <w:r>
        <w:rPr>
          <w:rFonts w:hint="eastAsia"/>
        </w:rPr>
        <w:t>缺乏</w:t>
      </w:r>
      <w:proofErr w:type="gramEnd"/>
      <w:r>
        <w:rPr>
          <w:rFonts w:hint="eastAsia"/>
        </w:rPr>
        <w:t>动态管理资源能力，动态化、精细化管理能力不足。政务外网带宽覆盖情况差异较大，存在网络延迟、网络不稳定等问题，需对重点单位、市（区）和镇村骨干节点网络进一步完善和提速。政务外网安全等级保护建设不够完善，网络安全设备种类不全、性能不高，影响了政务数据传输质量和安全稳定，亟需加强网络安全建设。新技术在数字政府领域的应用范围和深度不足，</w:t>
      </w:r>
      <w:r>
        <w:t>5G</w:t>
      </w:r>
      <w:r>
        <w:rPr>
          <w:rFonts w:hint="eastAsia"/>
        </w:rPr>
        <w:t>、人工智能、区块链等新技术的政务应用还处于探索阶段，已建成的政务云、</w:t>
      </w:r>
      <w:proofErr w:type="gramStart"/>
      <w:r>
        <w:rPr>
          <w:rFonts w:hint="eastAsia"/>
        </w:rPr>
        <w:t>政务网</w:t>
      </w:r>
      <w:proofErr w:type="gramEnd"/>
      <w:r>
        <w:rPr>
          <w:rFonts w:hint="eastAsia"/>
        </w:rPr>
        <w:t>等基础设施也尚未结合新一代技术发展趋势，无法提供数字化、智能化程度更高的支撑应用，未能更加充分发挥基础设施的有效价值。</w:t>
      </w:r>
    </w:p>
    <w:p w:rsidR="00E51332" w:rsidRDefault="00B767C7">
      <w:pPr>
        <w:pStyle w:val="2"/>
        <w:spacing w:before="156" w:after="156"/>
        <w:ind w:firstLine="640"/>
      </w:pPr>
      <w:bookmarkStart w:id="11" w:name="_Toc64903380"/>
      <w:bookmarkStart w:id="12" w:name="_Toc66093942"/>
      <w:r>
        <w:rPr>
          <w:rFonts w:hint="eastAsia"/>
        </w:rPr>
        <w:t>发展趋势。</w:t>
      </w:r>
      <w:bookmarkEnd w:id="11"/>
      <w:bookmarkEnd w:id="12"/>
    </w:p>
    <w:p w:rsidR="00E51332" w:rsidRDefault="00B767C7">
      <w:pPr>
        <w:ind w:firstLine="640"/>
      </w:pPr>
      <w:r>
        <w:rPr>
          <w:rFonts w:hint="eastAsia"/>
        </w:rPr>
        <w:t>“十四五”时期，国内外环境变化，信息技术革命持续演进及全球政府治理模式创新，将</w:t>
      </w:r>
      <w:proofErr w:type="gramStart"/>
      <w:r>
        <w:rPr>
          <w:rFonts w:hint="eastAsia"/>
        </w:rPr>
        <w:t>给数字</w:t>
      </w:r>
      <w:proofErr w:type="gramEnd"/>
      <w:r>
        <w:rPr>
          <w:rFonts w:hint="eastAsia"/>
        </w:rPr>
        <w:t>政府带来重大机遇</w:t>
      </w:r>
      <w:r>
        <w:rPr>
          <w:rFonts w:hint="eastAsia"/>
        </w:rPr>
        <w:lastRenderedPageBreak/>
        <w:t>和挑战。</w:t>
      </w:r>
    </w:p>
    <w:p w:rsidR="00E51332" w:rsidRDefault="00B767C7">
      <w:pPr>
        <w:ind w:firstLine="640"/>
      </w:pPr>
      <w:r>
        <w:rPr>
          <w:rFonts w:hint="eastAsia"/>
        </w:rPr>
        <w:t>从国际看，全球处于科技革命和产业革命历史交汇期，各主要经济体均把加快信息技术创新、最大程度释放数字红利，作为应对后疫情时代增长不稳定性和不确定性、重塑全球竞争力的共同选择。</w:t>
      </w:r>
    </w:p>
    <w:p w:rsidR="00E51332" w:rsidRDefault="00B767C7">
      <w:pPr>
        <w:ind w:firstLine="640"/>
      </w:pPr>
      <w:r>
        <w:rPr>
          <w:rFonts w:hint="eastAsia"/>
        </w:rPr>
        <w:t>从国内看，数字政府是数字中国的重要组成部分，推进数字政府建设是党中央、国务院</w:t>
      </w:r>
      <w:proofErr w:type="gramStart"/>
      <w:r>
        <w:rPr>
          <w:rFonts w:hint="eastAsia"/>
        </w:rPr>
        <w:t>作出</w:t>
      </w:r>
      <w:proofErr w:type="gramEnd"/>
      <w:r>
        <w:rPr>
          <w:rFonts w:hint="eastAsia"/>
        </w:rPr>
        <w:t>的重大战略部署，党的十九届四中全会明确要求“建立健全运用互联网、大数据、人工智能等技术手段进行行政管理的制度规则。推进‘数字政府’建设，加强数据有序共享”。党的十九大五中全会明确提出“加强数字社会、数字政府建设，提升公共服务、社会治理等数字化智能化水平”。面对新形势和新机遇，以数字政府建设为着力点和突破口，深入推进“放管服”改革，促进政府职能转变，是提升政府治理体系和治理能力现代化水平，推动经济社会高质量发展的必要手段。</w:t>
      </w:r>
    </w:p>
    <w:p w:rsidR="00E51332" w:rsidRDefault="00B767C7">
      <w:pPr>
        <w:ind w:firstLine="640"/>
        <w:rPr>
          <w:rFonts w:ascii="仿宋_GB2312"/>
        </w:rPr>
      </w:pPr>
      <w:r>
        <w:rPr>
          <w:rFonts w:ascii="仿宋_GB2312" w:hint="eastAsia"/>
        </w:rPr>
        <w:t>从省内看,广东省网上政务服务能力排名跃居全国第一，成为数字政府创新范本，广州、深圳等先进地市的数字政府改革持续走在全省甚至全国前列。</w:t>
      </w:r>
      <w:r>
        <w:rPr>
          <w:rFonts w:hint="eastAsia"/>
          <w:szCs w:val="32"/>
        </w:rPr>
        <w:t>各地按照数字政府改革建设工作部署，同本地新型智慧城市建设统筹谋划，同步建设，有力推动营商环境优化，以新技术、新模式促进全省各级政府治理能力和治理水平提升。</w:t>
      </w:r>
    </w:p>
    <w:p w:rsidR="00E51332" w:rsidRDefault="00B767C7">
      <w:pPr>
        <w:ind w:firstLine="640"/>
        <w:rPr>
          <w:rFonts w:ascii="仿宋_GB2312"/>
        </w:rPr>
      </w:pPr>
      <w:r>
        <w:rPr>
          <w:rFonts w:ascii="仿宋_GB2312" w:hint="eastAsia"/>
        </w:rPr>
        <w:t>从自身发展看，作为全省数字政府综合改革试点城市，江门市备受省委省政府的高度关注和期待。江门市数字政府</w:t>
      </w:r>
      <w:r>
        <w:rPr>
          <w:rFonts w:ascii="仿宋_GB2312" w:hint="eastAsia"/>
        </w:rPr>
        <w:lastRenderedPageBreak/>
        <w:t>改革建设加快推进，取得了局部突破，但仍需奋力实现赶超，需在全省数字政府工作部署下，探索数字政府“江门模式”，以高标准全面提升江门市政务服务能力和现代化治理水平，促进江门营商环境和政务环境走在全国前列。</w:t>
      </w:r>
    </w:p>
    <w:p w:rsidR="00E51332" w:rsidRDefault="00B767C7">
      <w:pPr>
        <w:ind w:firstLine="640"/>
      </w:pPr>
      <w:r>
        <w:rPr>
          <w:rFonts w:hint="eastAsia"/>
        </w:rPr>
        <w:t>当前，以云计算、大数据、物联网、移动互联网等为代表的新一代信息技术高速发展、交叉融合，信息和通信技术领域创新空前活跃，新兴技术持续向经济、社会和公共管理领域渗透，新应用、新模式、新业态、新技术和新服务层出不穷，引领和催生各领域发展方式的革命性转变。面对经济社会深度变革的客观现实，必须顺应互联网发展趋势，推进数字政府建设，加快新一代信息技术服务政府职能转变与民生改善，引领我市经济发展、推进社会转型升级。</w:t>
      </w:r>
    </w:p>
    <w:p w:rsidR="00E51332" w:rsidRDefault="00B767C7">
      <w:pPr>
        <w:pStyle w:val="1"/>
      </w:pPr>
      <w:bookmarkStart w:id="13" w:name="_Toc64903381"/>
      <w:bookmarkStart w:id="14" w:name="_Toc66093943"/>
      <w:r>
        <w:rPr>
          <w:rFonts w:hint="eastAsia"/>
        </w:rPr>
        <w:t>总体要求</w:t>
      </w:r>
      <w:bookmarkEnd w:id="10"/>
      <w:bookmarkEnd w:id="13"/>
      <w:bookmarkEnd w:id="14"/>
    </w:p>
    <w:p w:rsidR="00E51332" w:rsidRDefault="00B767C7">
      <w:pPr>
        <w:pStyle w:val="2"/>
        <w:spacing w:before="156" w:after="156"/>
        <w:ind w:firstLine="640"/>
      </w:pPr>
      <w:bookmarkStart w:id="15" w:name="_Toc57725756"/>
      <w:bookmarkStart w:id="16" w:name="_Toc66093944"/>
      <w:bookmarkStart w:id="17" w:name="_Toc64903382"/>
      <w:r>
        <w:rPr>
          <w:rFonts w:hint="eastAsia"/>
        </w:rPr>
        <w:t>指导思想</w:t>
      </w:r>
      <w:bookmarkEnd w:id="15"/>
      <w:r>
        <w:rPr>
          <w:rFonts w:hint="eastAsia"/>
        </w:rPr>
        <w:t>。</w:t>
      </w:r>
      <w:bookmarkEnd w:id="16"/>
      <w:bookmarkEnd w:id="17"/>
    </w:p>
    <w:p w:rsidR="00E51332" w:rsidRDefault="00B767C7">
      <w:pPr>
        <w:ind w:firstLine="640"/>
      </w:pPr>
      <w:r>
        <w:rPr>
          <w:rFonts w:hint="eastAsia"/>
        </w:rPr>
        <w:t>以习近平新时代中国特色社会主义思想为指导，全面贯彻党的十九大和十九届二中、三中、四中、五中全会精神，深入贯彻落</w:t>
      </w:r>
      <w:proofErr w:type="gramStart"/>
      <w:r>
        <w:rPr>
          <w:rFonts w:hint="eastAsia"/>
        </w:rPr>
        <w:t>实习近</w:t>
      </w:r>
      <w:proofErr w:type="gramEnd"/>
      <w:r>
        <w:rPr>
          <w:rFonts w:hint="eastAsia"/>
        </w:rPr>
        <w:t>平总书记对广东重要讲话和重要指示批示精神，认真落实省委“</w:t>
      </w:r>
      <w:r>
        <w:rPr>
          <w:rFonts w:hint="eastAsia"/>
        </w:rPr>
        <w:t>1+1+9</w:t>
      </w:r>
      <w:r>
        <w:rPr>
          <w:rFonts w:hint="eastAsia"/>
        </w:rPr>
        <w:t>”工作部署和市委“</w:t>
      </w:r>
      <w:r>
        <w:rPr>
          <w:rFonts w:hint="eastAsia"/>
        </w:rPr>
        <w:t>1+1+5</w:t>
      </w:r>
      <w:r>
        <w:rPr>
          <w:rFonts w:hint="eastAsia"/>
        </w:rPr>
        <w:t>”工作举措，按照市委抢抓“双区驱动”机遇、全方位融入粤港澳大湾区的具体要求，紧扣建设珠江西岸新增长</w:t>
      </w:r>
      <w:proofErr w:type="gramStart"/>
      <w:r>
        <w:rPr>
          <w:rFonts w:hint="eastAsia"/>
        </w:rPr>
        <w:t>极</w:t>
      </w:r>
      <w:proofErr w:type="gramEnd"/>
      <w:r>
        <w:rPr>
          <w:rFonts w:hint="eastAsia"/>
        </w:rPr>
        <w:t>和沿海经济带上的江海门户这一目标，以推动高质量发展为主题，以建设高水平数字政府为统揽，以新型智慧城市建设为抓手，</w:t>
      </w:r>
      <w:r>
        <w:rPr>
          <w:rFonts w:hint="eastAsia"/>
        </w:rPr>
        <w:lastRenderedPageBreak/>
        <w:t>将数据要素与新技术全面融入数字政府建设，充分发挥数字政府建设对数字经济、数字社会的引领作用，突出数字化引领、智能化赋能，全面提升政府数据化水平，优化数字经济发展环境，为江门营造国际一流营商环境，推进市域治理体系和治理能力现代化，构建“三区并进”区域发展新格局提供有力支撑。</w:t>
      </w:r>
    </w:p>
    <w:p w:rsidR="00E51332" w:rsidRDefault="00B767C7">
      <w:pPr>
        <w:pStyle w:val="2"/>
        <w:spacing w:before="156" w:after="156"/>
        <w:ind w:firstLine="640"/>
      </w:pPr>
      <w:bookmarkStart w:id="18" w:name="_Toc57725758"/>
      <w:bookmarkStart w:id="19" w:name="_Toc66093945"/>
      <w:bookmarkStart w:id="20" w:name="_Toc64903383"/>
      <w:r>
        <w:rPr>
          <w:rFonts w:hint="eastAsia"/>
        </w:rPr>
        <w:t>基本原则</w:t>
      </w:r>
      <w:bookmarkEnd w:id="18"/>
      <w:r>
        <w:rPr>
          <w:rFonts w:hint="eastAsia"/>
        </w:rPr>
        <w:t>。</w:t>
      </w:r>
      <w:bookmarkEnd w:id="19"/>
      <w:bookmarkEnd w:id="20"/>
    </w:p>
    <w:p w:rsidR="00E51332" w:rsidRDefault="00B767C7">
      <w:pPr>
        <w:pStyle w:val="ae"/>
        <w:numPr>
          <w:ilvl w:val="0"/>
          <w:numId w:val="2"/>
        </w:numPr>
        <w:spacing w:line="560" w:lineRule="exact"/>
        <w:ind w:left="0" w:firstLine="643"/>
      </w:pPr>
      <w:r>
        <w:rPr>
          <w:rFonts w:hint="eastAsia"/>
          <w:b/>
          <w:bCs/>
        </w:rPr>
        <w:t>坚持党的全面领导。</w:t>
      </w:r>
      <w:r>
        <w:rPr>
          <w:rFonts w:hint="eastAsia"/>
        </w:rPr>
        <w:t>始终坚持党的全面领导，不折不扣地落实党中央关于数字政府建设的决策部署，发挥党的领导制度体系的统领性作用，着眼长远、统筹全局，破除制约高质量发展的体制机制障碍，调动各级各部门积极性，凝聚强大力量，持续增强数字政府改革建设的动力和活力。</w:t>
      </w:r>
    </w:p>
    <w:p w:rsidR="00E51332" w:rsidRDefault="00B767C7">
      <w:pPr>
        <w:pStyle w:val="ae"/>
        <w:numPr>
          <w:ilvl w:val="0"/>
          <w:numId w:val="2"/>
        </w:numPr>
        <w:spacing w:line="560" w:lineRule="exact"/>
        <w:ind w:left="0" w:firstLine="643"/>
      </w:pPr>
      <w:r>
        <w:rPr>
          <w:rFonts w:hint="eastAsia"/>
          <w:b/>
          <w:bCs/>
        </w:rPr>
        <w:t>坚持以人民为中心。</w:t>
      </w:r>
      <w:r>
        <w:rPr>
          <w:rFonts w:hint="eastAsia"/>
        </w:rPr>
        <w:t>以人民日益增长的美好生活需要为数字政府建设的出发点和落脚点，扎根人民关心关注的政务、经济、民生等重要领域，让数字政府建设成果惠及全社会，切实提升人民的幸福感、获得感。</w:t>
      </w:r>
    </w:p>
    <w:p w:rsidR="00E51332" w:rsidRDefault="00B767C7">
      <w:pPr>
        <w:pStyle w:val="ae"/>
        <w:numPr>
          <w:ilvl w:val="0"/>
          <w:numId w:val="2"/>
        </w:numPr>
        <w:spacing w:line="560" w:lineRule="exact"/>
        <w:ind w:left="0" w:firstLine="643"/>
      </w:pPr>
      <w:r>
        <w:rPr>
          <w:rFonts w:hint="eastAsia"/>
          <w:b/>
          <w:bCs/>
        </w:rPr>
        <w:t>坚持统筹集约建设</w:t>
      </w:r>
      <w:r>
        <w:rPr>
          <w:rFonts w:hint="eastAsia"/>
        </w:rPr>
        <w:t>。坚持“全市一盘棋”，强化对全市数字政府建设的顶层设计和分类指导，建设上接省、覆盖全市、纵向贯通、横向协同的数字政府体系。统筹考虑各层级政务信息化建设需求，坚持基础技术支撑体系一体化、集约化建设的路径，优化资源配置，避免重复投资。</w:t>
      </w:r>
    </w:p>
    <w:p w:rsidR="00E51332" w:rsidRDefault="00B767C7">
      <w:pPr>
        <w:pStyle w:val="ae"/>
        <w:numPr>
          <w:ilvl w:val="0"/>
          <w:numId w:val="2"/>
        </w:numPr>
        <w:spacing w:line="560" w:lineRule="exact"/>
        <w:ind w:left="0" w:firstLine="643"/>
      </w:pPr>
      <w:r>
        <w:rPr>
          <w:rFonts w:hint="eastAsia"/>
          <w:b/>
          <w:bCs/>
        </w:rPr>
        <w:t>坚持融合开放创新</w:t>
      </w:r>
      <w:r>
        <w:rPr>
          <w:rFonts w:hint="eastAsia"/>
        </w:rPr>
        <w:t>。深入实施创新驱动发展战略，发挥政府在推动人工智能、区块链、大数据等新一代信息技术</w:t>
      </w:r>
      <w:r>
        <w:rPr>
          <w:rFonts w:hint="eastAsia"/>
        </w:rPr>
        <w:lastRenderedPageBreak/>
        <w:t>创新发展应用中的引领作用，以技术创新促进业务创新，提高服务、治理和管理的精确性、主动性。以数据为主线，推进数据资源开放共享，以数据资源价值挖掘激发经济新动力。</w:t>
      </w:r>
    </w:p>
    <w:p w:rsidR="00E51332" w:rsidRDefault="00B767C7">
      <w:pPr>
        <w:pStyle w:val="ae"/>
        <w:numPr>
          <w:ilvl w:val="0"/>
          <w:numId w:val="2"/>
        </w:numPr>
        <w:spacing w:line="560" w:lineRule="exact"/>
        <w:ind w:left="0" w:firstLine="643"/>
      </w:pPr>
      <w:r>
        <w:rPr>
          <w:rFonts w:hint="eastAsia"/>
          <w:b/>
          <w:bCs/>
        </w:rPr>
        <w:t>坚持多元参与共建。</w:t>
      </w:r>
      <w:r>
        <w:rPr>
          <w:rFonts w:hint="eastAsia"/>
        </w:rPr>
        <w:t>强化政府宏观指导、政策引领、监督监管作用，通过政策扶持、统筹协调和优化环境等调控措施，体现政府在城市建设发展中的引导作用。充分发挥市场在资源配置中的决定性作用，引入行业优势企业</w:t>
      </w:r>
      <w:r>
        <w:rPr>
          <w:rFonts w:hint="eastAsia"/>
        </w:rPr>
        <w:t xml:space="preserve">, </w:t>
      </w:r>
      <w:r>
        <w:rPr>
          <w:rFonts w:hint="eastAsia"/>
        </w:rPr>
        <w:t>加强政企深度合作，激活城市发展整体动力。</w:t>
      </w:r>
    </w:p>
    <w:p w:rsidR="00E51332" w:rsidRDefault="00B767C7">
      <w:pPr>
        <w:pStyle w:val="ae"/>
        <w:numPr>
          <w:ilvl w:val="0"/>
          <w:numId w:val="2"/>
        </w:numPr>
        <w:spacing w:line="560" w:lineRule="exact"/>
        <w:ind w:left="0" w:firstLine="643"/>
      </w:pPr>
      <w:r>
        <w:rPr>
          <w:rFonts w:hint="eastAsia"/>
          <w:b/>
          <w:bCs/>
        </w:rPr>
        <w:t>坚持安全自主可控</w:t>
      </w:r>
      <w:r>
        <w:rPr>
          <w:rFonts w:hint="eastAsia"/>
        </w:rPr>
        <w:t>。强化安全意识和保障措施，构建完善可靠的安全保障体系，以安全保发展，以发展促安全，推动网络安全与信息化发展良性互动、互为支撑、协调共进。建立健全数据安全保障的规则体系，加强隐私脱敏保护和安全保密防护，建立安全防护体系，提升安全防护能力。</w:t>
      </w:r>
    </w:p>
    <w:p w:rsidR="00E51332" w:rsidRDefault="00B767C7">
      <w:pPr>
        <w:pStyle w:val="2"/>
        <w:spacing w:before="156" w:after="156"/>
        <w:ind w:firstLine="640"/>
      </w:pPr>
      <w:bookmarkStart w:id="21" w:name="_Toc57725759"/>
      <w:bookmarkStart w:id="22" w:name="_Toc64903384"/>
      <w:bookmarkStart w:id="23" w:name="_Toc66093946"/>
      <w:r>
        <w:rPr>
          <w:rFonts w:hint="eastAsia"/>
        </w:rPr>
        <w:t>发展目标</w:t>
      </w:r>
      <w:bookmarkEnd w:id="21"/>
      <w:r>
        <w:rPr>
          <w:rFonts w:hint="eastAsia"/>
        </w:rPr>
        <w:t>。</w:t>
      </w:r>
      <w:bookmarkEnd w:id="22"/>
      <w:bookmarkEnd w:id="23"/>
    </w:p>
    <w:p w:rsidR="00E51332" w:rsidRDefault="00B767C7">
      <w:pPr>
        <w:ind w:firstLine="640"/>
      </w:pPr>
      <w:r>
        <w:rPr>
          <w:rFonts w:hint="eastAsia"/>
        </w:rPr>
        <w:t>顺应数字时代发展潮流，抢抓数字技术产业变革机遇，充分发挥新技术、新要素在引领数字政府发展新阶段的内核价值，以新技术激活新要素，以新要素释放新价值，以新价值实现新突破，推进数字技术在政府服务和政府治理等领域的广泛应用，加快政府数字化智能化转型，全面增强政府统筹能力、服务能力、治理能力、协同能力、安全能力和发展能力，构建起“数字化服务、数字化管理、数字化决策”为特征的政府治理机制和服务体系，到</w:t>
      </w:r>
      <w:r>
        <w:rPr>
          <w:rFonts w:hint="eastAsia"/>
        </w:rPr>
        <w:t>2</w:t>
      </w:r>
      <w:r>
        <w:t>025</w:t>
      </w:r>
      <w:r>
        <w:rPr>
          <w:rFonts w:hint="eastAsia"/>
        </w:rPr>
        <w:t>年，建成全国政府数字化转型样板区和社会治理现代化先行区。</w:t>
      </w:r>
    </w:p>
    <w:p w:rsidR="00E51332" w:rsidRDefault="00B767C7">
      <w:pPr>
        <w:ind w:firstLine="640"/>
      </w:pPr>
      <w:r>
        <w:rPr>
          <w:rFonts w:hint="eastAsia"/>
        </w:rPr>
        <w:lastRenderedPageBreak/>
        <w:t>具体目标如下：</w:t>
      </w:r>
    </w:p>
    <w:p w:rsidR="00E51332" w:rsidRDefault="00B767C7">
      <w:pPr>
        <w:ind w:firstLine="643"/>
      </w:pPr>
      <w:r>
        <w:rPr>
          <w:rFonts w:hint="eastAsia"/>
          <w:b/>
          <w:bCs/>
        </w:rPr>
        <w:t>——打造政府服务新样板</w:t>
      </w:r>
      <w:r>
        <w:rPr>
          <w:rFonts w:hint="eastAsia"/>
        </w:rPr>
        <w:t>。全面提升政务服务“一网通办”水平，强化服务“智能感知、主动办理”能力，提供更多精准化、智慧化、精细化的便捷服务，不断提升人民群众的获得感、幸福感、安全感。到</w:t>
      </w:r>
      <w:r>
        <w:rPr>
          <w:rFonts w:hint="eastAsia"/>
        </w:rPr>
        <w:t>2</w:t>
      </w:r>
      <w:r>
        <w:t>025</w:t>
      </w:r>
      <w:r>
        <w:rPr>
          <w:rFonts w:hint="eastAsia"/>
        </w:rPr>
        <w:t>年，建立全覆盖、全时空、全联动、全监督、全公开的“互联网</w:t>
      </w:r>
      <w:r>
        <w:rPr>
          <w:rFonts w:hint="eastAsia"/>
        </w:rPr>
        <w:t>+</w:t>
      </w:r>
      <w:r>
        <w:rPr>
          <w:rFonts w:hint="eastAsia"/>
        </w:rPr>
        <w:t>政务服务”体系，除涉密</w:t>
      </w:r>
      <w:r w:rsidRPr="002B59AE">
        <w:rPr>
          <w:rFonts w:hint="eastAsia"/>
        </w:rPr>
        <w:t>等</w:t>
      </w:r>
      <w:r>
        <w:rPr>
          <w:rFonts w:hint="eastAsia"/>
        </w:rPr>
        <w:t>外，实现政务服务网上可办率达</w:t>
      </w:r>
      <w:r>
        <w:rPr>
          <w:rFonts w:hint="eastAsia"/>
        </w:rPr>
        <w:t>100%</w:t>
      </w:r>
      <w:r>
        <w:rPr>
          <w:rFonts w:hint="eastAsia"/>
        </w:rPr>
        <w:t>，</w:t>
      </w:r>
      <w:proofErr w:type="gramStart"/>
      <w:r>
        <w:rPr>
          <w:rFonts w:hint="eastAsia"/>
        </w:rPr>
        <w:t>全程网办</w:t>
      </w:r>
      <w:proofErr w:type="gramEnd"/>
      <w:r>
        <w:rPr>
          <w:rFonts w:hint="eastAsia"/>
        </w:rPr>
        <w:t>率达</w:t>
      </w:r>
      <w:r>
        <w:rPr>
          <w:rFonts w:hint="eastAsia"/>
        </w:rPr>
        <w:t>9</w:t>
      </w:r>
      <w:r>
        <w:t>0</w:t>
      </w:r>
      <w:r>
        <w:rPr>
          <w:rFonts w:hint="eastAsia"/>
        </w:rPr>
        <w:t>%</w:t>
      </w:r>
      <w:r>
        <w:rPr>
          <w:rFonts w:hint="eastAsia"/>
        </w:rPr>
        <w:t>，政务服务事项“最多跑一次”实现率不低于</w:t>
      </w:r>
      <w:r>
        <w:rPr>
          <w:rFonts w:hint="eastAsia"/>
        </w:rPr>
        <w:t>95%</w:t>
      </w:r>
      <w:r>
        <w:rPr>
          <w:rFonts w:hint="eastAsia"/>
        </w:rPr>
        <w:t>，政府服务能力位居全省前列。</w:t>
      </w:r>
    </w:p>
    <w:p w:rsidR="00E51332" w:rsidRDefault="00B767C7">
      <w:pPr>
        <w:ind w:firstLine="643"/>
      </w:pPr>
      <w:r>
        <w:rPr>
          <w:rFonts w:hint="eastAsia"/>
          <w:b/>
          <w:bCs/>
        </w:rPr>
        <w:t>——创建社会治理新示范</w:t>
      </w:r>
      <w:r>
        <w:rPr>
          <w:rFonts w:hint="eastAsia"/>
        </w:rPr>
        <w:t>。打造“一网感知、一网统管”新型智慧城市，推动社会治理体系治理能力现代化。到</w:t>
      </w:r>
      <w:r>
        <w:rPr>
          <w:rFonts w:hint="eastAsia"/>
        </w:rPr>
        <w:t>2</w:t>
      </w:r>
      <w:r>
        <w:t>025</w:t>
      </w:r>
      <w:r>
        <w:rPr>
          <w:rFonts w:hint="eastAsia"/>
        </w:rPr>
        <w:t>年，初步建成“城市大脑”和“数字孪生”城市，各职能部门政务信息系统、服务资源充分整合，建立党建引领、政府治理、社会调节、居民自治“四位一体”治理架构，有效调动社会力量参与政府治理积极性，全市各级政府的综合治理体系和治理能力现代化水平大幅提升。</w:t>
      </w:r>
    </w:p>
    <w:p w:rsidR="00E51332" w:rsidRDefault="00B767C7">
      <w:pPr>
        <w:ind w:firstLine="643"/>
      </w:pPr>
      <w:r>
        <w:rPr>
          <w:rFonts w:hint="eastAsia"/>
          <w:b/>
          <w:bCs/>
        </w:rPr>
        <w:t>——建成政府协同新标杆</w:t>
      </w:r>
      <w:r>
        <w:rPr>
          <w:rFonts w:hint="eastAsia"/>
        </w:rPr>
        <w:t>。政务信息系统、服务资源共享共用水平显著提升，基层减负取得明显成效。至</w:t>
      </w:r>
      <w:r>
        <w:rPr>
          <w:rFonts w:hint="eastAsia"/>
        </w:rPr>
        <w:t>2025</w:t>
      </w:r>
      <w:r>
        <w:rPr>
          <w:rFonts w:hint="eastAsia"/>
        </w:rPr>
        <w:t>年底，实现市直部门、县级部门全面使用或联通市政务协同办公平台，支持县区已有成熟的政务协同办公平台按照市统一标准完善后</w:t>
      </w:r>
      <w:proofErr w:type="gramStart"/>
      <w:r>
        <w:rPr>
          <w:rFonts w:hint="eastAsia"/>
        </w:rPr>
        <w:t>接入市</w:t>
      </w:r>
      <w:proofErr w:type="gramEnd"/>
      <w:r>
        <w:rPr>
          <w:rFonts w:hint="eastAsia"/>
        </w:rPr>
        <w:t>政务协同办公平台；市政务协同办公平台全面联通“粤政易”，指尖办公能力全市</w:t>
      </w:r>
      <w:r>
        <w:rPr>
          <w:rFonts w:hint="eastAsia"/>
        </w:rPr>
        <w:t>1</w:t>
      </w:r>
      <w:r>
        <w:t>00%</w:t>
      </w:r>
      <w:r>
        <w:rPr>
          <w:rFonts w:hint="eastAsia"/>
        </w:rPr>
        <w:t>覆盖；基本实现</w:t>
      </w:r>
      <w:r>
        <w:rPr>
          <w:rFonts w:hint="eastAsia"/>
        </w:rPr>
        <w:t>80%</w:t>
      </w:r>
      <w:r>
        <w:rPr>
          <w:rFonts w:hint="eastAsia"/>
        </w:rPr>
        <w:t>政府内部办事不用跑，行政效能显著增强。</w:t>
      </w:r>
    </w:p>
    <w:p w:rsidR="00E51332" w:rsidRDefault="00B767C7">
      <w:pPr>
        <w:ind w:firstLine="643"/>
      </w:pPr>
      <w:r>
        <w:rPr>
          <w:rFonts w:hint="eastAsia"/>
          <w:b/>
          <w:bCs/>
        </w:rPr>
        <w:lastRenderedPageBreak/>
        <w:t>——构建数据要素市场化配置新局面</w:t>
      </w:r>
      <w:r>
        <w:rPr>
          <w:rFonts w:hint="eastAsia"/>
        </w:rPr>
        <w:t>。推动数据资源开发利用，推动数字经济和实体经济深度融合，各级各部门“用数”便利度大幅提升，大数据辅助决策得到广泛应用。到</w:t>
      </w:r>
      <w:r>
        <w:rPr>
          <w:rFonts w:hint="eastAsia"/>
        </w:rPr>
        <w:t>2025</w:t>
      </w:r>
      <w:r>
        <w:rPr>
          <w:rFonts w:hint="eastAsia"/>
        </w:rPr>
        <w:t>年，建成大数据融合创新平台，基本形成多元汇集、集中开放的政务数据资源开放应用格局，民生保障服务相关领域的政府数据集中有序开放。</w:t>
      </w:r>
    </w:p>
    <w:p w:rsidR="00E51332" w:rsidRDefault="00B767C7">
      <w:pPr>
        <w:ind w:firstLine="643"/>
      </w:pPr>
      <w:r>
        <w:rPr>
          <w:rFonts w:hint="eastAsia"/>
          <w:b/>
          <w:bCs/>
        </w:rPr>
        <w:t>——树立技术支撑水平新高度</w:t>
      </w:r>
      <w:r>
        <w:rPr>
          <w:rFonts w:hint="eastAsia"/>
        </w:rPr>
        <w:t>。新一代信息技术融入数字政府政务云、</w:t>
      </w:r>
      <w:proofErr w:type="gramStart"/>
      <w:r>
        <w:rPr>
          <w:rFonts w:hint="eastAsia"/>
        </w:rPr>
        <w:t>政务网</w:t>
      </w:r>
      <w:proofErr w:type="gramEnd"/>
      <w:r>
        <w:rPr>
          <w:rFonts w:hint="eastAsia"/>
        </w:rPr>
        <w:t>等基础设施，基础设施、数据、应用等安全防护水平全面提升，筑牢数字政府智能基础底座。至</w:t>
      </w:r>
      <w:r>
        <w:rPr>
          <w:rFonts w:hint="eastAsia"/>
        </w:rPr>
        <w:t>2025</w:t>
      </w:r>
      <w:r>
        <w:rPr>
          <w:rFonts w:hint="eastAsia"/>
        </w:rPr>
        <w:t>年底，建设弹性伸缩、资源自调的政务云，进一步扩大政务网络覆盖面，部门非涉密专网实现</w:t>
      </w:r>
      <w:r>
        <w:rPr>
          <w:rFonts w:hint="eastAsia"/>
        </w:rPr>
        <w:t>100</w:t>
      </w:r>
      <w:r>
        <w:rPr>
          <w:rFonts w:hint="eastAsia"/>
        </w:rPr>
        <w:t>％打通，基础设施实现精细化动态管理，基本建成可信、可靠、可控的信息安全体系，网络与信息安全自主可靠水平明显提升。</w:t>
      </w:r>
    </w:p>
    <w:p w:rsidR="00E51332" w:rsidRDefault="00B767C7">
      <w:pPr>
        <w:pStyle w:val="a3"/>
        <w:keepNext/>
        <w:spacing w:line="560" w:lineRule="exact"/>
        <w:ind w:firstLineChars="0" w:firstLine="0"/>
        <w:jc w:val="center"/>
        <w:rPr>
          <w:rFonts w:ascii="Times New Roman" w:hAnsi="Times New Roman" w:cs="Times New Roman"/>
          <w:sz w:val="24"/>
          <w:szCs w:val="24"/>
        </w:rPr>
      </w:pPr>
      <w:r>
        <w:rPr>
          <w:rFonts w:ascii="Times New Roman" w:hAnsi="Times New Roman" w:cs="Times New Roman" w:hint="eastAsia"/>
          <w:sz w:val="24"/>
          <w:szCs w:val="24"/>
        </w:rPr>
        <w:t>表</w:t>
      </w:r>
      <w:r>
        <w:rPr>
          <w:rFonts w:ascii="Times New Roman" w:hAnsi="Times New Roman" w:cs="Times New Roman"/>
          <w:sz w:val="24"/>
          <w:szCs w:val="24"/>
        </w:rPr>
        <w:fldChar w:fldCharType="begin"/>
      </w:r>
      <w:r>
        <w:rPr>
          <w:rFonts w:ascii="Times New Roman" w:hAnsi="Times New Roman" w:cs="Times New Roman"/>
          <w:sz w:val="24"/>
          <w:szCs w:val="24"/>
        </w:rPr>
        <w:instrText xml:space="preserve"> SEQ </w:instrText>
      </w:r>
      <w:r>
        <w:rPr>
          <w:rFonts w:ascii="Times New Roman" w:hAnsi="Times New Roman" w:cs="Times New Roman" w:hint="eastAsia"/>
          <w:sz w:val="24"/>
          <w:szCs w:val="24"/>
        </w:rPr>
        <w:instrText>表格</w:instrText>
      </w:r>
      <w:r>
        <w:rPr>
          <w:rFonts w:ascii="Times New Roman" w:hAnsi="Times New Roman" w:cs="Times New Roman"/>
          <w:sz w:val="24"/>
          <w:szCs w:val="24"/>
        </w:rPr>
        <w:instrText xml:space="preserve"> \* ARABIC </w:instrText>
      </w:r>
      <w:r>
        <w:rPr>
          <w:rFonts w:ascii="Times New Roman" w:hAnsi="Times New Roman" w:cs="Times New Roman"/>
          <w:sz w:val="24"/>
          <w:szCs w:val="24"/>
        </w:rPr>
        <w:fldChar w:fldCharType="separate"/>
      </w:r>
      <w:r>
        <w:rPr>
          <w:rFonts w:ascii="Times New Roman" w:hAnsi="Times New Roman" w:cs="Times New Roman"/>
          <w:sz w:val="24"/>
          <w:szCs w:val="24"/>
        </w:rPr>
        <w:t>1</w:t>
      </w:r>
      <w:r>
        <w:rPr>
          <w:rFonts w:ascii="Times New Roman" w:hAnsi="Times New Roman" w:cs="Times New Roman"/>
          <w:sz w:val="24"/>
          <w:szCs w:val="24"/>
        </w:rPr>
        <w:fldChar w:fldCharType="end"/>
      </w:r>
      <w:r>
        <w:rPr>
          <w:rFonts w:ascii="Times New Roman" w:hAnsi="Times New Roman" w:cs="Times New Roman"/>
          <w:sz w:val="24"/>
          <w:szCs w:val="24"/>
        </w:rPr>
        <w:t xml:space="preserve"> </w:t>
      </w:r>
      <w:r>
        <w:rPr>
          <w:rFonts w:ascii="Times New Roman" w:hAnsi="Times New Roman" w:cs="Times New Roman" w:hint="eastAsia"/>
          <w:sz w:val="24"/>
          <w:szCs w:val="24"/>
        </w:rPr>
        <w:t>江门市数字政府改革建设</w:t>
      </w:r>
      <w:r>
        <w:rPr>
          <w:rFonts w:ascii="仿宋_GB2312" w:eastAsia="仿宋_GB2312" w:hAnsi="Times New Roman" w:cs="Times New Roman" w:hint="eastAsia"/>
          <w:sz w:val="24"/>
          <w:szCs w:val="24"/>
        </w:rPr>
        <w:t>“</w:t>
      </w:r>
      <w:r>
        <w:rPr>
          <w:rFonts w:ascii="Times New Roman" w:hAnsi="Times New Roman" w:cs="Times New Roman" w:hint="eastAsia"/>
          <w:sz w:val="24"/>
          <w:szCs w:val="24"/>
        </w:rPr>
        <w:t>十四五</w:t>
      </w:r>
      <w:r>
        <w:rPr>
          <w:rFonts w:ascii="仿宋_GB2312" w:eastAsia="仿宋_GB2312" w:hAnsi="Times New Roman" w:cs="Times New Roman" w:hint="eastAsia"/>
          <w:sz w:val="24"/>
          <w:szCs w:val="24"/>
        </w:rPr>
        <w:t>”</w:t>
      </w:r>
      <w:r>
        <w:rPr>
          <w:rFonts w:ascii="Times New Roman" w:hAnsi="Times New Roman" w:cs="Times New Roman" w:hint="eastAsia"/>
          <w:sz w:val="24"/>
          <w:szCs w:val="24"/>
        </w:rPr>
        <w:t>主要公共指标</w:t>
      </w:r>
    </w:p>
    <w:tbl>
      <w:tblPr>
        <w:tblW w:w="841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57"/>
        <w:gridCol w:w="1583"/>
        <w:gridCol w:w="4317"/>
        <w:gridCol w:w="1662"/>
      </w:tblGrid>
      <w:tr w:rsidR="00E51332">
        <w:trPr>
          <w:trHeight w:val="397"/>
          <w:tblHeader/>
        </w:trPr>
        <w:tc>
          <w:tcPr>
            <w:tcW w:w="857" w:type="dxa"/>
            <w:shd w:val="clear" w:color="000000" w:fill="E7E6E6"/>
            <w:tcMar>
              <w:left w:w="0" w:type="dxa"/>
              <w:right w:w="0" w:type="dxa"/>
            </w:tcMar>
            <w:vAlign w:val="center"/>
          </w:tcPr>
          <w:p w:rsidR="00E51332" w:rsidRDefault="00B767C7">
            <w:pPr>
              <w:widowControl/>
              <w:snapToGrid w:val="0"/>
              <w:spacing w:before="60" w:after="60" w:line="240" w:lineRule="auto"/>
              <w:ind w:firstLineChars="0" w:firstLine="0"/>
              <w:jc w:val="center"/>
              <w:rPr>
                <w:rFonts w:ascii="仿宋_GB2312"/>
                <w:b/>
                <w:bCs/>
                <w:kern w:val="0"/>
                <w:sz w:val="28"/>
              </w:rPr>
            </w:pPr>
            <w:r>
              <w:rPr>
                <w:rFonts w:ascii="仿宋_GB2312" w:hint="eastAsia"/>
                <w:b/>
                <w:bCs/>
                <w:kern w:val="0"/>
                <w:sz w:val="28"/>
              </w:rPr>
              <w:t>序号</w:t>
            </w:r>
          </w:p>
        </w:tc>
        <w:tc>
          <w:tcPr>
            <w:tcW w:w="1583" w:type="dxa"/>
            <w:shd w:val="clear" w:color="000000" w:fill="E7E6E6"/>
            <w:tcMar>
              <w:left w:w="0" w:type="dxa"/>
              <w:right w:w="0" w:type="dxa"/>
            </w:tcMar>
            <w:vAlign w:val="center"/>
          </w:tcPr>
          <w:p w:rsidR="00E51332" w:rsidRDefault="00B767C7">
            <w:pPr>
              <w:widowControl/>
              <w:snapToGrid w:val="0"/>
              <w:spacing w:before="60" w:after="60" w:line="240" w:lineRule="auto"/>
              <w:ind w:firstLineChars="0" w:firstLine="0"/>
              <w:jc w:val="center"/>
              <w:rPr>
                <w:rFonts w:ascii="仿宋_GB2312"/>
                <w:b/>
                <w:bCs/>
                <w:kern w:val="0"/>
                <w:sz w:val="28"/>
              </w:rPr>
            </w:pPr>
            <w:r>
              <w:rPr>
                <w:rFonts w:ascii="仿宋_GB2312" w:hint="eastAsia"/>
                <w:b/>
                <w:bCs/>
                <w:kern w:val="0"/>
                <w:sz w:val="28"/>
              </w:rPr>
              <w:t>类别</w:t>
            </w:r>
          </w:p>
        </w:tc>
        <w:tc>
          <w:tcPr>
            <w:tcW w:w="4317" w:type="dxa"/>
            <w:shd w:val="clear" w:color="000000" w:fill="E7E6E6"/>
            <w:tcMar>
              <w:left w:w="0" w:type="dxa"/>
              <w:right w:w="0" w:type="dxa"/>
            </w:tcMar>
            <w:vAlign w:val="center"/>
          </w:tcPr>
          <w:p w:rsidR="00E51332" w:rsidRDefault="00B767C7">
            <w:pPr>
              <w:widowControl/>
              <w:snapToGrid w:val="0"/>
              <w:spacing w:before="60" w:after="60" w:line="240" w:lineRule="auto"/>
              <w:ind w:firstLineChars="0" w:firstLine="0"/>
              <w:jc w:val="center"/>
              <w:rPr>
                <w:rFonts w:ascii="仿宋_GB2312"/>
                <w:b/>
                <w:bCs/>
                <w:kern w:val="0"/>
                <w:sz w:val="28"/>
              </w:rPr>
            </w:pPr>
            <w:r>
              <w:rPr>
                <w:rFonts w:ascii="仿宋_GB2312" w:hint="eastAsia"/>
                <w:b/>
                <w:bCs/>
                <w:kern w:val="0"/>
                <w:sz w:val="28"/>
              </w:rPr>
              <w:t>主要指标</w:t>
            </w:r>
          </w:p>
        </w:tc>
        <w:tc>
          <w:tcPr>
            <w:tcW w:w="1662" w:type="dxa"/>
            <w:shd w:val="clear" w:color="000000" w:fill="E7E6E6"/>
            <w:vAlign w:val="center"/>
          </w:tcPr>
          <w:p w:rsidR="00E51332" w:rsidRDefault="00B767C7">
            <w:pPr>
              <w:widowControl/>
              <w:snapToGrid w:val="0"/>
              <w:spacing w:before="60" w:after="60" w:line="240" w:lineRule="auto"/>
              <w:ind w:firstLineChars="0" w:firstLine="0"/>
              <w:jc w:val="center"/>
              <w:rPr>
                <w:rFonts w:ascii="仿宋_GB2312"/>
                <w:b/>
                <w:bCs/>
                <w:kern w:val="0"/>
                <w:sz w:val="28"/>
              </w:rPr>
            </w:pPr>
            <w:r>
              <w:rPr>
                <w:rFonts w:ascii="仿宋_GB2312" w:hint="eastAsia"/>
                <w:b/>
                <w:bCs/>
                <w:kern w:val="0"/>
                <w:sz w:val="28"/>
              </w:rPr>
              <w:t>规划值</w:t>
            </w:r>
          </w:p>
        </w:tc>
      </w:tr>
      <w:tr w:rsidR="00E51332">
        <w:trPr>
          <w:trHeight w:val="397"/>
        </w:trPr>
        <w:tc>
          <w:tcPr>
            <w:tcW w:w="857" w:type="dxa"/>
            <w:shd w:val="clear" w:color="auto" w:fill="auto"/>
            <w:tcMar>
              <w:left w:w="0" w:type="dxa"/>
              <w:right w:w="0" w:type="dxa"/>
            </w:tcMar>
            <w:vAlign w:val="center"/>
          </w:tcPr>
          <w:p w:rsidR="00E51332" w:rsidRDefault="00E51332">
            <w:pPr>
              <w:pStyle w:val="ae"/>
              <w:widowControl/>
              <w:numPr>
                <w:ilvl w:val="0"/>
                <w:numId w:val="3"/>
              </w:numPr>
              <w:snapToGrid w:val="0"/>
              <w:spacing w:before="60" w:after="60" w:line="240" w:lineRule="auto"/>
              <w:ind w:left="0" w:firstLineChars="0" w:firstLine="0"/>
              <w:jc w:val="center"/>
              <w:rPr>
                <w:kern w:val="0"/>
                <w:sz w:val="28"/>
              </w:rPr>
            </w:pPr>
          </w:p>
        </w:tc>
        <w:tc>
          <w:tcPr>
            <w:tcW w:w="1583" w:type="dxa"/>
            <w:vMerge w:val="restart"/>
            <w:shd w:val="clear" w:color="auto" w:fill="auto"/>
            <w:tcMar>
              <w:left w:w="0" w:type="dxa"/>
              <w:right w:w="0" w:type="dxa"/>
            </w:tcMar>
            <w:vAlign w:val="center"/>
          </w:tcPr>
          <w:p w:rsidR="00E51332" w:rsidRDefault="00B767C7">
            <w:pPr>
              <w:widowControl/>
              <w:snapToGrid w:val="0"/>
              <w:spacing w:before="60" w:after="60" w:line="240" w:lineRule="auto"/>
              <w:ind w:firstLineChars="0" w:firstLine="0"/>
              <w:jc w:val="center"/>
              <w:rPr>
                <w:rFonts w:ascii="仿宋_GB2312"/>
                <w:kern w:val="0"/>
                <w:sz w:val="28"/>
              </w:rPr>
            </w:pPr>
            <w:r>
              <w:rPr>
                <w:rFonts w:ascii="仿宋_GB2312" w:hint="eastAsia"/>
                <w:kern w:val="0"/>
                <w:sz w:val="28"/>
              </w:rPr>
              <w:t>数字化</w:t>
            </w:r>
            <w:r>
              <w:rPr>
                <w:rFonts w:ascii="仿宋_GB2312" w:hint="eastAsia"/>
                <w:kern w:val="0"/>
                <w:sz w:val="28"/>
              </w:rPr>
              <w:br/>
              <w:t>履职能力</w:t>
            </w:r>
          </w:p>
        </w:tc>
        <w:tc>
          <w:tcPr>
            <w:tcW w:w="4317" w:type="dxa"/>
            <w:shd w:val="clear" w:color="auto" w:fill="auto"/>
            <w:tcMar>
              <w:left w:w="0" w:type="dxa"/>
              <w:right w:w="0" w:type="dxa"/>
            </w:tcMar>
            <w:vAlign w:val="center"/>
          </w:tcPr>
          <w:p w:rsidR="00E51332" w:rsidRDefault="00B767C7">
            <w:pPr>
              <w:widowControl/>
              <w:snapToGrid w:val="0"/>
              <w:spacing w:before="60" w:after="60" w:line="240" w:lineRule="auto"/>
              <w:ind w:firstLineChars="0" w:firstLine="0"/>
              <w:rPr>
                <w:rFonts w:ascii="仿宋_GB2312"/>
                <w:kern w:val="0"/>
                <w:sz w:val="28"/>
              </w:rPr>
            </w:pPr>
            <w:r>
              <w:rPr>
                <w:rFonts w:hint="eastAsia"/>
                <w:sz w:val="28"/>
                <w:szCs w:val="21"/>
              </w:rPr>
              <w:sym w:font="Wingdings" w:char="F0AB"/>
            </w:r>
            <w:r>
              <w:rPr>
                <w:rFonts w:ascii="仿宋_GB2312" w:hint="eastAsia"/>
                <w:kern w:val="0"/>
                <w:sz w:val="28"/>
              </w:rPr>
              <w:t xml:space="preserve"> “最多跑一次”事项覆盖率（%）</w:t>
            </w:r>
          </w:p>
        </w:tc>
        <w:tc>
          <w:tcPr>
            <w:tcW w:w="1662" w:type="dxa"/>
            <w:vAlign w:val="center"/>
          </w:tcPr>
          <w:p w:rsidR="00E51332" w:rsidRDefault="00B767C7">
            <w:pPr>
              <w:widowControl/>
              <w:snapToGrid w:val="0"/>
              <w:spacing w:before="60" w:after="60" w:line="240" w:lineRule="auto"/>
              <w:ind w:firstLineChars="0" w:firstLine="0"/>
              <w:jc w:val="center"/>
              <w:rPr>
                <w:rFonts w:ascii="仿宋_GB2312"/>
                <w:kern w:val="0"/>
                <w:sz w:val="28"/>
              </w:rPr>
            </w:pPr>
            <w:r>
              <w:rPr>
                <w:rFonts w:ascii="仿宋_GB2312" w:hint="eastAsia"/>
                <w:kern w:val="0"/>
                <w:sz w:val="28"/>
              </w:rPr>
              <w:t>95</w:t>
            </w:r>
          </w:p>
        </w:tc>
      </w:tr>
      <w:tr w:rsidR="00E51332">
        <w:trPr>
          <w:trHeight w:val="397"/>
        </w:trPr>
        <w:tc>
          <w:tcPr>
            <w:tcW w:w="857" w:type="dxa"/>
            <w:shd w:val="clear" w:color="auto" w:fill="FFFFFF" w:themeFill="background1"/>
            <w:tcMar>
              <w:left w:w="0" w:type="dxa"/>
              <w:right w:w="0" w:type="dxa"/>
            </w:tcMar>
            <w:vAlign w:val="center"/>
          </w:tcPr>
          <w:p w:rsidR="00E51332" w:rsidRDefault="00E51332">
            <w:pPr>
              <w:pStyle w:val="ae"/>
              <w:widowControl/>
              <w:numPr>
                <w:ilvl w:val="0"/>
                <w:numId w:val="3"/>
              </w:numPr>
              <w:snapToGrid w:val="0"/>
              <w:spacing w:before="60" w:after="60" w:line="240" w:lineRule="auto"/>
              <w:ind w:left="0" w:firstLineChars="0" w:firstLine="0"/>
              <w:jc w:val="center"/>
              <w:rPr>
                <w:kern w:val="0"/>
                <w:sz w:val="28"/>
              </w:rPr>
            </w:pPr>
          </w:p>
        </w:tc>
        <w:tc>
          <w:tcPr>
            <w:tcW w:w="1583" w:type="dxa"/>
            <w:vMerge/>
            <w:shd w:val="clear" w:color="auto" w:fill="FFFFFF" w:themeFill="background1"/>
            <w:tcMar>
              <w:left w:w="0" w:type="dxa"/>
              <w:right w:w="0" w:type="dxa"/>
            </w:tcMar>
            <w:vAlign w:val="center"/>
          </w:tcPr>
          <w:p w:rsidR="00E51332" w:rsidRDefault="00E51332">
            <w:pPr>
              <w:widowControl/>
              <w:snapToGrid w:val="0"/>
              <w:spacing w:before="60" w:after="60" w:line="240" w:lineRule="auto"/>
              <w:ind w:firstLineChars="0" w:firstLine="0"/>
              <w:jc w:val="center"/>
              <w:rPr>
                <w:rFonts w:ascii="仿宋_GB2312"/>
                <w:kern w:val="0"/>
                <w:sz w:val="28"/>
              </w:rPr>
            </w:pPr>
          </w:p>
        </w:tc>
        <w:tc>
          <w:tcPr>
            <w:tcW w:w="4317" w:type="dxa"/>
            <w:shd w:val="clear" w:color="auto" w:fill="FFFFFF" w:themeFill="background1"/>
            <w:tcMar>
              <w:left w:w="0" w:type="dxa"/>
              <w:right w:w="0" w:type="dxa"/>
            </w:tcMar>
            <w:vAlign w:val="center"/>
          </w:tcPr>
          <w:p w:rsidR="00E51332" w:rsidRDefault="00B767C7">
            <w:pPr>
              <w:widowControl/>
              <w:snapToGrid w:val="0"/>
              <w:spacing w:before="60" w:after="60" w:line="240" w:lineRule="auto"/>
              <w:ind w:firstLineChars="0" w:firstLine="0"/>
              <w:rPr>
                <w:rFonts w:ascii="仿宋_GB2312"/>
                <w:kern w:val="0"/>
                <w:sz w:val="28"/>
              </w:rPr>
            </w:pPr>
            <w:r>
              <w:rPr>
                <w:rFonts w:hint="eastAsia"/>
                <w:sz w:val="28"/>
                <w:szCs w:val="21"/>
              </w:rPr>
              <w:sym w:font="Wingdings" w:char="F0AB"/>
            </w:r>
            <w:r>
              <w:rPr>
                <w:rFonts w:ascii="仿宋_GB2312" w:hint="eastAsia"/>
                <w:color w:val="000000"/>
                <w:kern w:val="0"/>
                <w:sz w:val="28"/>
              </w:rPr>
              <w:t>一</w:t>
            </w:r>
            <w:proofErr w:type="gramStart"/>
            <w:r>
              <w:rPr>
                <w:rFonts w:ascii="仿宋_GB2312" w:hint="eastAsia"/>
                <w:color w:val="000000"/>
                <w:kern w:val="0"/>
                <w:sz w:val="28"/>
              </w:rPr>
              <w:t>窗综合</w:t>
            </w:r>
            <w:proofErr w:type="gramEnd"/>
            <w:r>
              <w:rPr>
                <w:rFonts w:ascii="仿宋_GB2312" w:hint="eastAsia"/>
                <w:color w:val="000000"/>
                <w:kern w:val="0"/>
                <w:sz w:val="28"/>
              </w:rPr>
              <w:t>受理率（%）</w:t>
            </w:r>
          </w:p>
        </w:tc>
        <w:tc>
          <w:tcPr>
            <w:tcW w:w="1662" w:type="dxa"/>
            <w:shd w:val="clear" w:color="auto" w:fill="FFFFFF" w:themeFill="background1"/>
            <w:vAlign w:val="center"/>
          </w:tcPr>
          <w:p w:rsidR="00E51332" w:rsidRDefault="00B767C7">
            <w:pPr>
              <w:widowControl/>
              <w:snapToGrid w:val="0"/>
              <w:spacing w:before="60" w:after="60" w:line="240" w:lineRule="auto"/>
              <w:ind w:firstLineChars="0" w:firstLine="0"/>
              <w:jc w:val="center"/>
              <w:rPr>
                <w:rFonts w:ascii="仿宋_GB2312"/>
                <w:color w:val="000000"/>
                <w:kern w:val="0"/>
                <w:sz w:val="28"/>
              </w:rPr>
            </w:pPr>
            <w:r>
              <w:rPr>
                <w:rFonts w:ascii="仿宋_GB2312" w:hint="eastAsia"/>
                <w:color w:val="000000"/>
                <w:kern w:val="0"/>
                <w:sz w:val="28"/>
              </w:rPr>
              <w:t>100</w:t>
            </w:r>
          </w:p>
        </w:tc>
      </w:tr>
      <w:tr w:rsidR="00E51332">
        <w:trPr>
          <w:trHeight w:val="397"/>
        </w:trPr>
        <w:tc>
          <w:tcPr>
            <w:tcW w:w="857" w:type="dxa"/>
            <w:shd w:val="clear" w:color="auto" w:fill="FFFFFF" w:themeFill="background1"/>
            <w:tcMar>
              <w:left w:w="0" w:type="dxa"/>
              <w:right w:w="0" w:type="dxa"/>
            </w:tcMar>
            <w:vAlign w:val="center"/>
          </w:tcPr>
          <w:p w:rsidR="00E51332" w:rsidRDefault="00E51332">
            <w:pPr>
              <w:pStyle w:val="ae"/>
              <w:widowControl/>
              <w:numPr>
                <w:ilvl w:val="0"/>
                <w:numId w:val="3"/>
              </w:numPr>
              <w:snapToGrid w:val="0"/>
              <w:spacing w:before="60" w:after="60" w:line="240" w:lineRule="auto"/>
              <w:ind w:left="0" w:firstLineChars="0" w:firstLine="0"/>
              <w:jc w:val="center"/>
              <w:rPr>
                <w:kern w:val="0"/>
                <w:sz w:val="28"/>
              </w:rPr>
            </w:pPr>
          </w:p>
        </w:tc>
        <w:tc>
          <w:tcPr>
            <w:tcW w:w="1583" w:type="dxa"/>
            <w:vMerge/>
            <w:shd w:val="clear" w:color="auto" w:fill="FFFFFF" w:themeFill="background1"/>
            <w:tcMar>
              <w:left w:w="0" w:type="dxa"/>
              <w:right w:w="0" w:type="dxa"/>
            </w:tcMar>
            <w:vAlign w:val="center"/>
          </w:tcPr>
          <w:p w:rsidR="00E51332" w:rsidRDefault="00E51332">
            <w:pPr>
              <w:widowControl/>
              <w:snapToGrid w:val="0"/>
              <w:spacing w:before="60" w:after="60" w:line="240" w:lineRule="auto"/>
              <w:ind w:firstLineChars="0" w:firstLine="0"/>
              <w:jc w:val="center"/>
              <w:rPr>
                <w:rFonts w:ascii="仿宋_GB2312"/>
                <w:kern w:val="0"/>
                <w:sz w:val="28"/>
              </w:rPr>
            </w:pPr>
          </w:p>
        </w:tc>
        <w:tc>
          <w:tcPr>
            <w:tcW w:w="4317" w:type="dxa"/>
            <w:shd w:val="clear" w:color="auto" w:fill="FFFFFF" w:themeFill="background1"/>
            <w:tcMar>
              <w:left w:w="0" w:type="dxa"/>
              <w:right w:w="0" w:type="dxa"/>
            </w:tcMar>
            <w:vAlign w:val="center"/>
          </w:tcPr>
          <w:p w:rsidR="00E51332" w:rsidRDefault="00B767C7">
            <w:pPr>
              <w:widowControl/>
              <w:snapToGrid w:val="0"/>
              <w:spacing w:before="60" w:after="60" w:line="240" w:lineRule="auto"/>
              <w:ind w:firstLineChars="0" w:firstLine="0"/>
              <w:rPr>
                <w:rFonts w:ascii="仿宋_GB2312"/>
                <w:kern w:val="0"/>
                <w:sz w:val="28"/>
              </w:rPr>
            </w:pPr>
            <w:r>
              <w:rPr>
                <w:rFonts w:hint="eastAsia"/>
                <w:sz w:val="28"/>
                <w:szCs w:val="21"/>
              </w:rPr>
              <w:sym w:font="Wingdings" w:char="F0AB"/>
            </w:r>
            <w:r>
              <w:rPr>
                <w:rFonts w:ascii="仿宋_GB2312" w:hint="eastAsia"/>
                <w:kern w:val="0"/>
                <w:sz w:val="28"/>
              </w:rPr>
              <w:t>高频服务事项“四免”比例（%）</w:t>
            </w:r>
          </w:p>
        </w:tc>
        <w:tc>
          <w:tcPr>
            <w:tcW w:w="1662" w:type="dxa"/>
            <w:shd w:val="clear" w:color="auto" w:fill="FFFFFF" w:themeFill="background1"/>
            <w:vAlign w:val="center"/>
          </w:tcPr>
          <w:p w:rsidR="00E51332" w:rsidRDefault="00B767C7">
            <w:pPr>
              <w:widowControl/>
              <w:snapToGrid w:val="0"/>
              <w:spacing w:before="60" w:after="60" w:line="240" w:lineRule="auto"/>
              <w:ind w:firstLineChars="0" w:firstLine="0"/>
              <w:jc w:val="center"/>
              <w:rPr>
                <w:rFonts w:ascii="仿宋_GB2312"/>
                <w:kern w:val="0"/>
                <w:sz w:val="28"/>
              </w:rPr>
            </w:pPr>
            <w:r>
              <w:rPr>
                <w:rFonts w:ascii="仿宋_GB2312" w:hint="eastAsia"/>
                <w:kern w:val="0"/>
                <w:sz w:val="28"/>
              </w:rPr>
              <w:t>100</w:t>
            </w:r>
          </w:p>
        </w:tc>
      </w:tr>
      <w:tr w:rsidR="00E51332">
        <w:trPr>
          <w:trHeight w:val="397"/>
        </w:trPr>
        <w:tc>
          <w:tcPr>
            <w:tcW w:w="857" w:type="dxa"/>
            <w:shd w:val="clear" w:color="auto" w:fill="FFFFFF" w:themeFill="background1"/>
            <w:tcMar>
              <w:left w:w="0" w:type="dxa"/>
              <w:right w:w="0" w:type="dxa"/>
            </w:tcMar>
            <w:vAlign w:val="center"/>
          </w:tcPr>
          <w:p w:rsidR="00E51332" w:rsidRDefault="00E51332">
            <w:pPr>
              <w:pStyle w:val="ae"/>
              <w:widowControl/>
              <w:numPr>
                <w:ilvl w:val="0"/>
                <w:numId w:val="3"/>
              </w:numPr>
              <w:snapToGrid w:val="0"/>
              <w:spacing w:before="60" w:after="60" w:line="240" w:lineRule="auto"/>
              <w:ind w:left="0" w:firstLineChars="0" w:firstLine="0"/>
              <w:jc w:val="center"/>
              <w:rPr>
                <w:kern w:val="0"/>
                <w:sz w:val="28"/>
              </w:rPr>
            </w:pPr>
          </w:p>
        </w:tc>
        <w:tc>
          <w:tcPr>
            <w:tcW w:w="1583" w:type="dxa"/>
            <w:vMerge/>
            <w:shd w:val="clear" w:color="auto" w:fill="FFFFFF" w:themeFill="background1"/>
            <w:tcMar>
              <w:left w:w="0" w:type="dxa"/>
              <w:right w:w="0" w:type="dxa"/>
            </w:tcMar>
            <w:vAlign w:val="center"/>
          </w:tcPr>
          <w:p w:rsidR="00E51332" w:rsidRDefault="00E51332">
            <w:pPr>
              <w:widowControl/>
              <w:snapToGrid w:val="0"/>
              <w:spacing w:before="60" w:after="60" w:line="240" w:lineRule="auto"/>
              <w:ind w:firstLineChars="0" w:firstLine="0"/>
              <w:jc w:val="center"/>
              <w:rPr>
                <w:rFonts w:ascii="仿宋_GB2312"/>
                <w:kern w:val="0"/>
                <w:sz w:val="28"/>
              </w:rPr>
            </w:pPr>
          </w:p>
        </w:tc>
        <w:tc>
          <w:tcPr>
            <w:tcW w:w="4317" w:type="dxa"/>
            <w:shd w:val="clear" w:color="auto" w:fill="FFFFFF" w:themeFill="background1"/>
            <w:tcMar>
              <w:left w:w="0" w:type="dxa"/>
              <w:right w:w="0" w:type="dxa"/>
            </w:tcMar>
            <w:vAlign w:val="center"/>
          </w:tcPr>
          <w:p w:rsidR="00E51332" w:rsidRDefault="00B767C7">
            <w:pPr>
              <w:widowControl/>
              <w:snapToGrid w:val="0"/>
              <w:spacing w:before="60" w:after="60" w:line="240" w:lineRule="auto"/>
              <w:ind w:firstLineChars="0" w:firstLine="0"/>
              <w:rPr>
                <w:rFonts w:ascii="仿宋_GB2312"/>
                <w:kern w:val="0"/>
                <w:sz w:val="28"/>
              </w:rPr>
            </w:pPr>
            <w:r>
              <w:rPr>
                <w:rFonts w:hint="eastAsia"/>
                <w:sz w:val="28"/>
                <w:szCs w:val="21"/>
              </w:rPr>
              <w:sym w:font="Wingdings" w:char="F0AB"/>
            </w:r>
            <w:r>
              <w:rPr>
                <w:rFonts w:ascii="仿宋_GB2312" w:hint="eastAsia"/>
                <w:kern w:val="0"/>
                <w:sz w:val="28"/>
              </w:rPr>
              <w:t xml:space="preserve"> “一件事”主题集成服务数量（件）</w:t>
            </w:r>
          </w:p>
        </w:tc>
        <w:tc>
          <w:tcPr>
            <w:tcW w:w="1662" w:type="dxa"/>
            <w:shd w:val="clear" w:color="auto" w:fill="FFFFFF" w:themeFill="background1"/>
            <w:vAlign w:val="center"/>
          </w:tcPr>
          <w:p w:rsidR="00E51332" w:rsidRDefault="00B767C7">
            <w:pPr>
              <w:widowControl/>
              <w:snapToGrid w:val="0"/>
              <w:spacing w:before="60" w:after="60" w:line="240" w:lineRule="auto"/>
              <w:ind w:firstLineChars="0" w:firstLine="0"/>
              <w:jc w:val="center"/>
              <w:rPr>
                <w:rFonts w:ascii="仿宋_GB2312"/>
                <w:kern w:val="0"/>
                <w:sz w:val="28"/>
              </w:rPr>
            </w:pPr>
            <w:r w:rsidRPr="002B59AE">
              <w:rPr>
                <w:rFonts w:ascii="仿宋_GB2312"/>
                <w:kern w:val="0"/>
                <w:sz w:val="28"/>
              </w:rPr>
              <w:t>400</w:t>
            </w:r>
          </w:p>
        </w:tc>
      </w:tr>
      <w:tr w:rsidR="00E51332">
        <w:trPr>
          <w:trHeight w:val="397"/>
        </w:trPr>
        <w:tc>
          <w:tcPr>
            <w:tcW w:w="857" w:type="dxa"/>
            <w:shd w:val="clear" w:color="auto" w:fill="FFFFFF" w:themeFill="background1"/>
            <w:tcMar>
              <w:left w:w="0" w:type="dxa"/>
              <w:right w:w="0" w:type="dxa"/>
            </w:tcMar>
            <w:vAlign w:val="center"/>
          </w:tcPr>
          <w:p w:rsidR="00E51332" w:rsidRDefault="00E51332">
            <w:pPr>
              <w:pStyle w:val="ae"/>
              <w:widowControl/>
              <w:numPr>
                <w:ilvl w:val="0"/>
                <w:numId w:val="3"/>
              </w:numPr>
              <w:snapToGrid w:val="0"/>
              <w:spacing w:before="60" w:after="60" w:line="240" w:lineRule="auto"/>
              <w:ind w:left="0" w:firstLineChars="0" w:firstLine="0"/>
              <w:jc w:val="center"/>
              <w:rPr>
                <w:kern w:val="0"/>
                <w:sz w:val="28"/>
              </w:rPr>
            </w:pPr>
          </w:p>
        </w:tc>
        <w:tc>
          <w:tcPr>
            <w:tcW w:w="1583" w:type="dxa"/>
            <w:vMerge/>
            <w:shd w:val="clear" w:color="auto" w:fill="FFFFFF" w:themeFill="background1"/>
            <w:tcMar>
              <w:left w:w="0" w:type="dxa"/>
              <w:right w:w="0" w:type="dxa"/>
            </w:tcMar>
            <w:vAlign w:val="center"/>
          </w:tcPr>
          <w:p w:rsidR="00E51332" w:rsidRDefault="00E51332">
            <w:pPr>
              <w:widowControl/>
              <w:snapToGrid w:val="0"/>
              <w:spacing w:before="60" w:after="60" w:line="240" w:lineRule="auto"/>
              <w:ind w:firstLineChars="0" w:firstLine="0"/>
              <w:jc w:val="center"/>
              <w:rPr>
                <w:rFonts w:ascii="仿宋_GB2312"/>
                <w:kern w:val="0"/>
                <w:sz w:val="28"/>
              </w:rPr>
            </w:pPr>
          </w:p>
        </w:tc>
        <w:tc>
          <w:tcPr>
            <w:tcW w:w="4317" w:type="dxa"/>
            <w:shd w:val="clear" w:color="auto" w:fill="FFFFFF" w:themeFill="background1"/>
            <w:tcMar>
              <w:left w:w="0" w:type="dxa"/>
              <w:right w:w="0" w:type="dxa"/>
            </w:tcMar>
            <w:vAlign w:val="center"/>
          </w:tcPr>
          <w:p w:rsidR="00E51332" w:rsidRDefault="00B767C7">
            <w:pPr>
              <w:widowControl/>
              <w:snapToGrid w:val="0"/>
              <w:spacing w:before="60" w:after="60" w:line="240" w:lineRule="auto"/>
              <w:ind w:firstLineChars="0" w:firstLine="0"/>
              <w:rPr>
                <w:rFonts w:ascii="仿宋_GB2312"/>
                <w:kern w:val="0"/>
                <w:sz w:val="28"/>
              </w:rPr>
            </w:pPr>
            <w:r>
              <w:rPr>
                <w:rFonts w:hint="eastAsia"/>
                <w:sz w:val="28"/>
                <w:szCs w:val="21"/>
              </w:rPr>
              <w:sym w:font="Wingdings" w:char="F0AB"/>
            </w:r>
            <w:r>
              <w:rPr>
                <w:rFonts w:hint="eastAsia"/>
                <w:sz w:val="28"/>
                <w:szCs w:val="21"/>
              </w:rPr>
              <w:t>政务服务</w:t>
            </w:r>
            <w:proofErr w:type="gramStart"/>
            <w:r>
              <w:rPr>
                <w:rFonts w:ascii="仿宋_GB2312" w:hint="eastAsia"/>
                <w:kern w:val="0"/>
                <w:sz w:val="28"/>
              </w:rPr>
              <w:t>一体机镇街</w:t>
            </w:r>
            <w:proofErr w:type="gramEnd"/>
            <w:r>
              <w:rPr>
                <w:rFonts w:ascii="仿宋_GB2312" w:hint="eastAsia"/>
                <w:kern w:val="0"/>
                <w:sz w:val="28"/>
              </w:rPr>
              <w:t>覆盖率（%）</w:t>
            </w:r>
          </w:p>
        </w:tc>
        <w:tc>
          <w:tcPr>
            <w:tcW w:w="1662" w:type="dxa"/>
            <w:shd w:val="clear" w:color="auto" w:fill="FFFFFF" w:themeFill="background1"/>
            <w:vAlign w:val="center"/>
          </w:tcPr>
          <w:p w:rsidR="00E51332" w:rsidRDefault="00B767C7">
            <w:pPr>
              <w:widowControl/>
              <w:snapToGrid w:val="0"/>
              <w:spacing w:before="60" w:after="60" w:line="240" w:lineRule="auto"/>
              <w:ind w:firstLineChars="0" w:firstLine="0"/>
              <w:jc w:val="center"/>
              <w:rPr>
                <w:rFonts w:ascii="仿宋_GB2312"/>
                <w:kern w:val="0"/>
                <w:sz w:val="28"/>
              </w:rPr>
            </w:pPr>
            <w:r>
              <w:rPr>
                <w:rFonts w:ascii="仿宋_GB2312" w:hint="eastAsia"/>
                <w:kern w:val="0"/>
                <w:sz w:val="28"/>
              </w:rPr>
              <w:t>100</w:t>
            </w:r>
          </w:p>
        </w:tc>
      </w:tr>
      <w:tr w:rsidR="00E51332">
        <w:trPr>
          <w:trHeight w:val="397"/>
        </w:trPr>
        <w:tc>
          <w:tcPr>
            <w:tcW w:w="857" w:type="dxa"/>
            <w:shd w:val="clear" w:color="auto" w:fill="FFFFFF" w:themeFill="background1"/>
            <w:tcMar>
              <w:left w:w="0" w:type="dxa"/>
              <w:right w:w="0" w:type="dxa"/>
            </w:tcMar>
            <w:vAlign w:val="center"/>
          </w:tcPr>
          <w:p w:rsidR="00E51332" w:rsidRDefault="00E51332">
            <w:pPr>
              <w:pStyle w:val="ae"/>
              <w:widowControl/>
              <w:numPr>
                <w:ilvl w:val="0"/>
                <w:numId w:val="3"/>
              </w:numPr>
              <w:snapToGrid w:val="0"/>
              <w:spacing w:before="60" w:after="60" w:line="240" w:lineRule="auto"/>
              <w:ind w:left="0" w:firstLineChars="0" w:firstLine="0"/>
              <w:jc w:val="center"/>
              <w:rPr>
                <w:kern w:val="0"/>
                <w:sz w:val="28"/>
              </w:rPr>
            </w:pPr>
          </w:p>
        </w:tc>
        <w:tc>
          <w:tcPr>
            <w:tcW w:w="1583" w:type="dxa"/>
            <w:vMerge/>
            <w:shd w:val="clear" w:color="auto" w:fill="FFFFFF" w:themeFill="background1"/>
            <w:tcMar>
              <w:left w:w="0" w:type="dxa"/>
              <w:right w:w="0" w:type="dxa"/>
            </w:tcMar>
            <w:vAlign w:val="center"/>
          </w:tcPr>
          <w:p w:rsidR="00E51332" w:rsidRDefault="00E51332">
            <w:pPr>
              <w:widowControl/>
              <w:snapToGrid w:val="0"/>
              <w:spacing w:before="60" w:after="60" w:line="240" w:lineRule="auto"/>
              <w:ind w:firstLineChars="0" w:firstLine="0"/>
              <w:jc w:val="center"/>
              <w:rPr>
                <w:rFonts w:ascii="仿宋_GB2312"/>
                <w:kern w:val="0"/>
                <w:sz w:val="28"/>
              </w:rPr>
            </w:pPr>
          </w:p>
        </w:tc>
        <w:tc>
          <w:tcPr>
            <w:tcW w:w="4317" w:type="dxa"/>
            <w:shd w:val="clear" w:color="auto" w:fill="FFFFFF" w:themeFill="background1"/>
            <w:tcMar>
              <w:left w:w="0" w:type="dxa"/>
              <w:right w:w="0" w:type="dxa"/>
            </w:tcMar>
            <w:vAlign w:val="center"/>
          </w:tcPr>
          <w:p w:rsidR="00E51332" w:rsidRDefault="00B767C7">
            <w:pPr>
              <w:widowControl/>
              <w:snapToGrid w:val="0"/>
              <w:spacing w:before="60" w:after="60" w:line="240" w:lineRule="auto"/>
              <w:ind w:firstLineChars="0" w:firstLine="0"/>
              <w:rPr>
                <w:rFonts w:ascii="仿宋_GB2312"/>
                <w:kern w:val="0"/>
                <w:sz w:val="28"/>
              </w:rPr>
            </w:pPr>
            <w:r>
              <w:rPr>
                <w:rFonts w:hint="eastAsia"/>
                <w:sz w:val="28"/>
                <w:szCs w:val="21"/>
              </w:rPr>
              <w:sym w:font="Wingdings" w:char="F0AB"/>
            </w:r>
            <w:r>
              <w:rPr>
                <w:rFonts w:ascii="仿宋_GB2312" w:hint="eastAsia"/>
                <w:kern w:val="0"/>
                <w:sz w:val="28"/>
              </w:rPr>
              <w:t>高频服务事项“跨省通办”比例（%）</w:t>
            </w:r>
          </w:p>
        </w:tc>
        <w:tc>
          <w:tcPr>
            <w:tcW w:w="1662" w:type="dxa"/>
            <w:shd w:val="clear" w:color="auto" w:fill="FFFFFF" w:themeFill="background1"/>
            <w:vAlign w:val="center"/>
          </w:tcPr>
          <w:p w:rsidR="00E51332" w:rsidRDefault="00B767C7">
            <w:pPr>
              <w:widowControl/>
              <w:snapToGrid w:val="0"/>
              <w:spacing w:before="60" w:after="60" w:line="240" w:lineRule="auto"/>
              <w:ind w:firstLineChars="0" w:firstLine="0"/>
              <w:jc w:val="center"/>
              <w:rPr>
                <w:rFonts w:ascii="仿宋_GB2312"/>
                <w:kern w:val="0"/>
                <w:sz w:val="28"/>
              </w:rPr>
            </w:pPr>
            <w:r>
              <w:rPr>
                <w:rFonts w:ascii="仿宋_GB2312" w:hint="eastAsia"/>
                <w:kern w:val="0"/>
                <w:sz w:val="28"/>
              </w:rPr>
              <w:t>100</w:t>
            </w:r>
          </w:p>
        </w:tc>
      </w:tr>
      <w:tr w:rsidR="00E51332">
        <w:trPr>
          <w:trHeight w:val="397"/>
        </w:trPr>
        <w:tc>
          <w:tcPr>
            <w:tcW w:w="857" w:type="dxa"/>
            <w:shd w:val="clear" w:color="auto" w:fill="auto"/>
            <w:tcMar>
              <w:left w:w="0" w:type="dxa"/>
              <w:right w:w="0" w:type="dxa"/>
            </w:tcMar>
            <w:vAlign w:val="center"/>
          </w:tcPr>
          <w:p w:rsidR="00E51332" w:rsidRDefault="00E51332">
            <w:pPr>
              <w:pStyle w:val="ae"/>
              <w:widowControl/>
              <w:numPr>
                <w:ilvl w:val="0"/>
                <w:numId w:val="3"/>
              </w:numPr>
              <w:snapToGrid w:val="0"/>
              <w:spacing w:before="60" w:after="60" w:line="240" w:lineRule="auto"/>
              <w:ind w:left="0" w:firstLineChars="0" w:firstLine="0"/>
              <w:jc w:val="center"/>
              <w:rPr>
                <w:kern w:val="0"/>
                <w:sz w:val="28"/>
              </w:rPr>
            </w:pPr>
          </w:p>
        </w:tc>
        <w:tc>
          <w:tcPr>
            <w:tcW w:w="1583" w:type="dxa"/>
            <w:vMerge/>
            <w:tcMar>
              <w:left w:w="0" w:type="dxa"/>
              <w:right w:w="0" w:type="dxa"/>
            </w:tcMar>
            <w:vAlign w:val="center"/>
          </w:tcPr>
          <w:p w:rsidR="00E51332" w:rsidRDefault="00E51332">
            <w:pPr>
              <w:widowControl/>
              <w:snapToGrid w:val="0"/>
              <w:spacing w:before="60" w:after="60" w:line="240" w:lineRule="auto"/>
              <w:ind w:firstLineChars="0" w:firstLine="0"/>
              <w:jc w:val="center"/>
              <w:rPr>
                <w:rFonts w:ascii="仿宋_GB2312"/>
                <w:kern w:val="0"/>
                <w:sz w:val="28"/>
              </w:rPr>
            </w:pPr>
          </w:p>
        </w:tc>
        <w:tc>
          <w:tcPr>
            <w:tcW w:w="4317" w:type="dxa"/>
            <w:shd w:val="clear" w:color="auto" w:fill="auto"/>
            <w:tcMar>
              <w:left w:w="0" w:type="dxa"/>
              <w:right w:w="0" w:type="dxa"/>
            </w:tcMar>
            <w:vAlign w:val="center"/>
          </w:tcPr>
          <w:p w:rsidR="00E51332" w:rsidRDefault="00B767C7">
            <w:pPr>
              <w:widowControl/>
              <w:snapToGrid w:val="0"/>
              <w:spacing w:before="60" w:after="60" w:line="240" w:lineRule="auto"/>
              <w:ind w:firstLineChars="0" w:firstLine="0"/>
              <w:rPr>
                <w:rFonts w:ascii="仿宋_GB2312"/>
                <w:kern w:val="0"/>
                <w:sz w:val="28"/>
              </w:rPr>
            </w:pPr>
            <w:r>
              <w:rPr>
                <w:rFonts w:hint="eastAsia"/>
                <w:sz w:val="28"/>
                <w:szCs w:val="21"/>
              </w:rPr>
              <w:sym w:font="Wingdings" w:char="F0AB"/>
            </w:r>
            <w:r>
              <w:rPr>
                <w:rFonts w:ascii="仿宋_GB2312" w:hint="eastAsia"/>
                <w:kern w:val="0"/>
                <w:sz w:val="28"/>
              </w:rPr>
              <w:t>政务服务“好差评”（分）</w:t>
            </w:r>
          </w:p>
        </w:tc>
        <w:tc>
          <w:tcPr>
            <w:tcW w:w="1662" w:type="dxa"/>
            <w:vAlign w:val="center"/>
          </w:tcPr>
          <w:p w:rsidR="00E51332" w:rsidRDefault="00B767C7">
            <w:pPr>
              <w:widowControl/>
              <w:snapToGrid w:val="0"/>
              <w:spacing w:before="60" w:after="60" w:line="240" w:lineRule="auto"/>
              <w:ind w:firstLineChars="0" w:firstLine="0"/>
              <w:jc w:val="center"/>
              <w:rPr>
                <w:rFonts w:ascii="仿宋_GB2312"/>
                <w:kern w:val="0"/>
                <w:sz w:val="28"/>
              </w:rPr>
            </w:pPr>
            <w:r w:rsidRPr="002B59AE">
              <w:rPr>
                <w:rFonts w:ascii="仿宋_GB2312"/>
                <w:kern w:val="0"/>
                <w:sz w:val="28"/>
              </w:rPr>
              <w:t>9.</w:t>
            </w:r>
            <w:r>
              <w:rPr>
                <w:rFonts w:ascii="仿宋_GB2312"/>
                <w:kern w:val="0"/>
                <w:sz w:val="28"/>
              </w:rPr>
              <w:t>9</w:t>
            </w:r>
          </w:p>
        </w:tc>
      </w:tr>
      <w:tr w:rsidR="00E51332">
        <w:trPr>
          <w:trHeight w:val="397"/>
        </w:trPr>
        <w:tc>
          <w:tcPr>
            <w:tcW w:w="857" w:type="dxa"/>
            <w:shd w:val="clear" w:color="auto" w:fill="auto"/>
            <w:tcMar>
              <w:left w:w="0" w:type="dxa"/>
              <w:right w:w="0" w:type="dxa"/>
            </w:tcMar>
            <w:vAlign w:val="center"/>
          </w:tcPr>
          <w:p w:rsidR="00E51332" w:rsidRDefault="00E51332">
            <w:pPr>
              <w:pStyle w:val="ae"/>
              <w:widowControl/>
              <w:numPr>
                <w:ilvl w:val="0"/>
                <w:numId w:val="3"/>
              </w:numPr>
              <w:snapToGrid w:val="0"/>
              <w:spacing w:before="60" w:after="60" w:line="240" w:lineRule="auto"/>
              <w:ind w:left="0" w:firstLineChars="0" w:firstLine="0"/>
              <w:jc w:val="center"/>
              <w:rPr>
                <w:kern w:val="0"/>
                <w:sz w:val="28"/>
              </w:rPr>
            </w:pPr>
          </w:p>
        </w:tc>
        <w:tc>
          <w:tcPr>
            <w:tcW w:w="1583" w:type="dxa"/>
            <w:vMerge/>
            <w:tcMar>
              <w:left w:w="0" w:type="dxa"/>
              <w:right w:w="0" w:type="dxa"/>
            </w:tcMar>
            <w:vAlign w:val="center"/>
          </w:tcPr>
          <w:p w:rsidR="00E51332" w:rsidRDefault="00E51332">
            <w:pPr>
              <w:widowControl/>
              <w:snapToGrid w:val="0"/>
              <w:spacing w:before="60" w:after="60" w:line="240" w:lineRule="auto"/>
              <w:ind w:firstLineChars="0" w:firstLine="0"/>
              <w:jc w:val="center"/>
              <w:rPr>
                <w:rFonts w:ascii="仿宋_GB2312"/>
                <w:kern w:val="0"/>
                <w:sz w:val="28"/>
              </w:rPr>
            </w:pPr>
          </w:p>
        </w:tc>
        <w:tc>
          <w:tcPr>
            <w:tcW w:w="4317" w:type="dxa"/>
            <w:shd w:val="clear" w:color="auto" w:fill="auto"/>
            <w:tcMar>
              <w:left w:w="0" w:type="dxa"/>
              <w:right w:w="0" w:type="dxa"/>
            </w:tcMar>
            <w:vAlign w:val="center"/>
          </w:tcPr>
          <w:p w:rsidR="00E51332" w:rsidRDefault="00B767C7">
            <w:pPr>
              <w:widowControl/>
              <w:snapToGrid w:val="0"/>
              <w:spacing w:before="60" w:after="60" w:line="240" w:lineRule="auto"/>
              <w:ind w:firstLineChars="0" w:firstLine="0"/>
              <w:rPr>
                <w:rFonts w:ascii="仿宋_GB2312"/>
                <w:kern w:val="0"/>
                <w:sz w:val="28"/>
              </w:rPr>
            </w:pPr>
            <w:r>
              <w:rPr>
                <w:rFonts w:hint="eastAsia"/>
                <w:sz w:val="28"/>
                <w:szCs w:val="21"/>
              </w:rPr>
              <w:sym w:font="Wingdings" w:char="F0AB"/>
            </w:r>
            <w:r>
              <w:rPr>
                <w:rFonts w:ascii="仿宋_GB2312" w:hint="eastAsia"/>
                <w:kern w:val="0"/>
                <w:sz w:val="28"/>
              </w:rPr>
              <w:t>粤省事</w:t>
            </w:r>
            <w:proofErr w:type="gramStart"/>
            <w:r>
              <w:rPr>
                <w:rFonts w:ascii="仿宋_GB2312" w:hint="eastAsia"/>
                <w:kern w:val="0"/>
                <w:sz w:val="28"/>
              </w:rPr>
              <w:t>日活跃</w:t>
            </w:r>
            <w:proofErr w:type="gramEnd"/>
            <w:r>
              <w:rPr>
                <w:rFonts w:ascii="仿宋_GB2312" w:hint="eastAsia"/>
                <w:kern w:val="0"/>
                <w:sz w:val="28"/>
              </w:rPr>
              <w:t>用户数（万名）</w:t>
            </w:r>
          </w:p>
        </w:tc>
        <w:tc>
          <w:tcPr>
            <w:tcW w:w="1662" w:type="dxa"/>
            <w:vAlign w:val="center"/>
          </w:tcPr>
          <w:p w:rsidR="00E51332" w:rsidRPr="002B59AE" w:rsidRDefault="00B767C7">
            <w:pPr>
              <w:widowControl/>
              <w:snapToGrid w:val="0"/>
              <w:spacing w:before="60" w:after="60" w:line="240" w:lineRule="auto"/>
              <w:ind w:firstLineChars="0" w:firstLine="0"/>
              <w:jc w:val="center"/>
              <w:rPr>
                <w:rFonts w:ascii="仿宋_GB2312"/>
                <w:kern w:val="0"/>
                <w:sz w:val="28"/>
              </w:rPr>
            </w:pPr>
            <w:r w:rsidRPr="002B59AE">
              <w:rPr>
                <w:rFonts w:ascii="仿宋_GB2312" w:hint="eastAsia"/>
                <w:kern w:val="0"/>
                <w:sz w:val="28"/>
              </w:rPr>
              <w:t>待定</w:t>
            </w:r>
          </w:p>
        </w:tc>
      </w:tr>
      <w:tr w:rsidR="00E51332">
        <w:trPr>
          <w:trHeight w:val="397"/>
        </w:trPr>
        <w:tc>
          <w:tcPr>
            <w:tcW w:w="857" w:type="dxa"/>
            <w:shd w:val="clear" w:color="auto" w:fill="auto"/>
            <w:tcMar>
              <w:left w:w="0" w:type="dxa"/>
              <w:right w:w="0" w:type="dxa"/>
            </w:tcMar>
            <w:vAlign w:val="center"/>
          </w:tcPr>
          <w:p w:rsidR="00E51332" w:rsidRDefault="00E51332">
            <w:pPr>
              <w:pStyle w:val="ae"/>
              <w:widowControl/>
              <w:numPr>
                <w:ilvl w:val="0"/>
                <w:numId w:val="3"/>
              </w:numPr>
              <w:snapToGrid w:val="0"/>
              <w:spacing w:before="60" w:after="60" w:line="240" w:lineRule="auto"/>
              <w:ind w:left="0" w:firstLineChars="0" w:firstLine="0"/>
              <w:jc w:val="center"/>
              <w:rPr>
                <w:kern w:val="0"/>
                <w:sz w:val="28"/>
              </w:rPr>
            </w:pPr>
          </w:p>
        </w:tc>
        <w:tc>
          <w:tcPr>
            <w:tcW w:w="1583" w:type="dxa"/>
            <w:vMerge/>
            <w:tcMar>
              <w:left w:w="0" w:type="dxa"/>
              <w:right w:w="0" w:type="dxa"/>
            </w:tcMar>
            <w:vAlign w:val="center"/>
          </w:tcPr>
          <w:p w:rsidR="00E51332" w:rsidRDefault="00E51332">
            <w:pPr>
              <w:widowControl/>
              <w:snapToGrid w:val="0"/>
              <w:spacing w:before="60" w:after="60" w:line="240" w:lineRule="auto"/>
              <w:ind w:firstLineChars="0" w:firstLine="0"/>
              <w:jc w:val="center"/>
              <w:rPr>
                <w:rFonts w:ascii="仿宋_GB2312"/>
                <w:kern w:val="0"/>
                <w:sz w:val="28"/>
              </w:rPr>
            </w:pPr>
          </w:p>
        </w:tc>
        <w:tc>
          <w:tcPr>
            <w:tcW w:w="4317" w:type="dxa"/>
            <w:shd w:val="clear" w:color="auto" w:fill="auto"/>
            <w:tcMar>
              <w:left w:w="0" w:type="dxa"/>
              <w:right w:w="0" w:type="dxa"/>
            </w:tcMar>
            <w:vAlign w:val="center"/>
          </w:tcPr>
          <w:p w:rsidR="00E51332" w:rsidRDefault="00B767C7">
            <w:pPr>
              <w:widowControl/>
              <w:snapToGrid w:val="0"/>
              <w:spacing w:before="60" w:after="60" w:line="240" w:lineRule="auto"/>
              <w:ind w:firstLineChars="0" w:firstLine="0"/>
              <w:rPr>
                <w:rFonts w:ascii="仿宋_GB2312"/>
                <w:kern w:val="0"/>
                <w:sz w:val="28"/>
              </w:rPr>
            </w:pPr>
            <w:r>
              <w:rPr>
                <w:rFonts w:hint="eastAsia"/>
                <w:sz w:val="28"/>
                <w:szCs w:val="21"/>
              </w:rPr>
              <w:sym w:font="Wingdings" w:char="F0AB"/>
            </w:r>
            <w:r>
              <w:rPr>
                <w:rFonts w:ascii="仿宋_GB2312" w:hint="eastAsia"/>
                <w:kern w:val="0"/>
                <w:sz w:val="28"/>
              </w:rPr>
              <w:t>粤商</w:t>
            </w:r>
            <w:proofErr w:type="gramStart"/>
            <w:r>
              <w:rPr>
                <w:rFonts w:ascii="仿宋_GB2312" w:hint="eastAsia"/>
                <w:kern w:val="0"/>
                <w:sz w:val="28"/>
              </w:rPr>
              <w:t>通日活跃</w:t>
            </w:r>
            <w:proofErr w:type="gramEnd"/>
            <w:r>
              <w:rPr>
                <w:rFonts w:ascii="仿宋_GB2312" w:hint="eastAsia"/>
                <w:kern w:val="0"/>
                <w:sz w:val="28"/>
              </w:rPr>
              <w:t>用户数（万名）</w:t>
            </w:r>
          </w:p>
        </w:tc>
        <w:tc>
          <w:tcPr>
            <w:tcW w:w="1662" w:type="dxa"/>
            <w:vAlign w:val="center"/>
          </w:tcPr>
          <w:p w:rsidR="00E51332" w:rsidRPr="002B59AE" w:rsidRDefault="00B767C7">
            <w:pPr>
              <w:widowControl/>
              <w:snapToGrid w:val="0"/>
              <w:spacing w:before="60" w:after="60" w:line="240" w:lineRule="auto"/>
              <w:ind w:firstLineChars="0" w:firstLine="0"/>
              <w:jc w:val="center"/>
              <w:rPr>
                <w:rFonts w:ascii="仿宋_GB2312"/>
                <w:kern w:val="0"/>
                <w:sz w:val="28"/>
              </w:rPr>
            </w:pPr>
            <w:r w:rsidRPr="002B59AE">
              <w:rPr>
                <w:rFonts w:ascii="仿宋_GB2312" w:hint="eastAsia"/>
                <w:kern w:val="0"/>
                <w:sz w:val="28"/>
              </w:rPr>
              <w:t>待定</w:t>
            </w:r>
          </w:p>
        </w:tc>
      </w:tr>
      <w:tr w:rsidR="00E51332">
        <w:trPr>
          <w:trHeight w:val="397"/>
        </w:trPr>
        <w:tc>
          <w:tcPr>
            <w:tcW w:w="857" w:type="dxa"/>
            <w:shd w:val="clear" w:color="auto" w:fill="auto"/>
            <w:tcMar>
              <w:left w:w="0" w:type="dxa"/>
              <w:right w:w="0" w:type="dxa"/>
            </w:tcMar>
            <w:vAlign w:val="center"/>
          </w:tcPr>
          <w:p w:rsidR="00E51332" w:rsidRDefault="00E51332">
            <w:pPr>
              <w:pStyle w:val="ae"/>
              <w:widowControl/>
              <w:numPr>
                <w:ilvl w:val="0"/>
                <w:numId w:val="3"/>
              </w:numPr>
              <w:snapToGrid w:val="0"/>
              <w:spacing w:before="60" w:after="60" w:line="240" w:lineRule="auto"/>
              <w:ind w:left="0" w:firstLineChars="0" w:firstLine="0"/>
              <w:jc w:val="center"/>
              <w:rPr>
                <w:kern w:val="0"/>
                <w:sz w:val="28"/>
              </w:rPr>
            </w:pPr>
          </w:p>
        </w:tc>
        <w:tc>
          <w:tcPr>
            <w:tcW w:w="1583" w:type="dxa"/>
            <w:vMerge/>
            <w:tcMar>
              <w:left w:w="0" w:type="dxa"/>
              <w:right w:w="0" w:type="dxa"/>
            </w:tcMar>
            <w:vAlign w:val="center"/>
          </w:tcPr>
          <w:p w:rsidR="00E51332" w:rsidRDefault="00E51332">
            <w:pPr>
              <w:widowControl/>
              <w:snapToGrid w:val="0"/>
              <w:spacing w:before="60" w:after="60" w:line="240" w:lineRule="auto"/>
              <w:ind w:firstLineChars="0" w:firstLine="0"/>
              <w:jc w:val="center"/>
              <w:rPr>
                <w:rFonts w:ascii="仿宋_GB2312"/>
                <w:kern w:val="0"/>
                <w:sz w:val="28"/>
              </w:rPr>
            </w:pPr>
          </w:p>
        </w:tc>
        <w:tc>
          <w:tcPr>
            <w:tcW w:w="4317" w:type="dxa"/>
            <w:shd w:val="clear" w:color="auto" w:fill="auto"/>
            <w:tcMar>
              <w:left w:w="0" w:type="dxa"/>
              <w:right w:w="0" w:type="dxa"/>
            </w:tcMar>
            <w:vAlign w:val="center"/>
          </w:tcPr>
          <w:p w:rsidR="00E51332" w:rsidRDefault="00B767C7">
            <w:pPr>
              <w:widowControl/>
              <w:snapToGrid w:val="0"/>
              <w:spacing w:before="60" w:after="60" w:line="240" w:lineRule="auto"/>
              <w:ind w:firstLineChars="0" w:firstLine="0"/>
              <w:rPr>
                <w:rFonts w:ascii="仿宋_GB2312"/>
                <w:kern w:val="0"/>
                <w:sz w:val="28"/>
              </w:rPr>
            </w:pPr>
            <w:r>
              <w:rPr>
                <w:rFonts w:hint="eastAsia"/>
                <w:sz w:val="28"/>
                <w:szCs w:val="21"/>
              </w:rPr>
              <w:sym w:font="Wingdings" w:char="F0AB"/>
            </w:r>
            <w:proofErr w:type="gramStart"/>
            <w:r>
              <w:rPr>
                <w:rFonts w:ascii="仿宋_GB2312" w:hint="eastAsia"/>
                <w:kern w:val="0"/>
                <w:sz w:val="28"/>
              </w:rPr>
              <w:t>粤政易日活跃</w:t>
            </w:r>
            <w:proofErr w:type="gramEnd"/>
            <w:r>
              <w:rPr>
                <w:rFonts w:ascii="仿宋_GB2312" w:hint="eastAsia"/>
                <w:kern w:val="0"/>
                <w:sz w:val="28"/>
              </w:rPr>
              <w:t>用户数（万名）</w:t>
            </w:r>
          </w:p>
        </w:tc>
        <w:tc>
          <w:tcPr>
            <w:tcW w:w="1662" w:type="dxa"/>
            <w:vAlign w:val="center"/>
          </w:tcPr>
          <w:p w:rsidR="00E51332" w:rsidRPr="002B59AE" w:rsidRDefault="00B767C7">
            <w:pPr>
              <w:widowControl/>
              <w:snapToGrid w:val="0"/>
              <w:spacing w:before="60" w:after="60" w:line="240" w:lineRule="auto"/>
              <w:ind w:firstLineChars="0" w:firstLine="0"/>
              <w:jc w:val="center"/>
              <w:rPr>
                <w:rFonts w:ascii="仿宋_GB2312"/>
                <w:kern w:val="0"/>
                <w:sz w:val="28"/>
              </w:rPr>
            </w:pPr>
            <w:r w:rsidRPr="002B59AE">
              <w:rPr>
                <w:rFonts w:ascii="仿宋_GB2312"/>
                <w:kern w:val="0"/>
                <w:sz w:val="28"/>
              </w:rPr>
              <w:t>4</w:t>
            </w:r>
          </w:p>
        </w:tc>
      </w:tr>
      <w:tr w:rsidR="00E51332">
        <w:trPr>
          <w:trHeight w:val="397"/>
        </w:trPr>
        <w:tc>
          <w:tcPr>
            <w:tcW w:w="857" w:type="dxa"/>
            <w:shd w:val="clear" w:color="auto" w:fill="auto"/>
            <w:tcMar>
              <w:left w:w="0" w:type="dxa"/>
              <w:right w:w="0" w:type="dxa"/>
            </w:tcMar>
            <w:vAlign w:val="center"/>
          </w:tcPr>
          <w:p w:rsidR="00E51332" w:rsidRDefault="00E51332">
            <w:pPr>
              <w:pStyle w:val="ae"/>
              <w:widowControl/>
              <w:numPr>
                <w:ilvl w:val="0"/>
                <w:numId w:val="3"/>
              </w:numPr>
              <w:snapToGrid w:val="0"/>
              <w:spacing w:before="60" w:after="60" w:line="240" w:lineRule="auto"/>
              <w:ind w:left="0" w:firstLineChars="0" w:firstLine="0"/>
              <w:jc w:val="center"/>
              <w:rPr>
                <w:kern w:val="0"/>
                <w:sz w:val="28"/>
              </w:rPr>
            </w:pPr>
          </w:p>
        </w:tc>
        <w:tc>
          <w:tcPr>
            <w:tcW w:w="1583" w:type="dxa"/>
            <w:vMerge/>
            <w:tcMar>
              <w:left w:w="0" w:type="dxa"/>
              <w:right w:w="0" w:type="dxa"/>
            </w:tcMar>
            <w:vAlign w:val="center"/>
          </w:tcPr>
          <w:p w:rsidR="00E51332" w:rsidRDefault="00E51332">
            <w:pPr>
              <w:widowControl/>
              <w:snapToGrid w:val="0"/>
              <w:spacing w:before="60" w:after="60" w:line="240" w:lineRule="auto"/>
              <w:ind w:firstLineChars="0" w:firstLine="0"/>
              <w:jc w:val="center"/>
              <w:rPr>
                <w:rFonts w:ascii="仿宋_GB2312"/>
                <w:kern w:val="0"/>
                <w:sz w:val="28"/>
              </w:rPr>
            </w:pPr>
          </w:p>
        </w:tc>
        <w:tc>
          <w:tcPr>
            <w:tcW w:w="4317" w:type="dxa"/>
            <w:shd w:val="clear" w:color="auto" w:fill="auto"/>
            <w:tcMar>
              <w:left w:w="0" w:type="dxa"/>
              <w:right w:w="0" w:type="dxa"/>
            </w:tcMar>
            <w:vAlign w:val="center"/>
          </w:tcPr>
          <w:p w:rsidR="00E51332" w:rsidRDefault="00B767C7">
            <w:pPr>
              <w:widowControl/>
              <w:snapToGrid w:val="0"/>
              <w:spacing w:before="60" w:after="60" w:line="240" w:lineRule="auto"/>
              <w:ind w:firstLineChars="0" w:firstLine="0"/>
              <w:rPr>
                <w:rFonts w:ascii="仿宋_GB2312"/>
                <w:kern w:val="0"/>
                <w:sz w:val="28"/>
              </w:rPr>
            </w:pPr>
            <w:r>
              <w:rPr>
                <w:rFonts w:ascii="仿宋_GB2312" w:hint="eastAsia"/>
                <w:kern w:val="0"/>
                <w:sz w:val="28"/>
              </w:rPr>
              <w:t>江门易办事活跃用户数（万名）</w:t>
            </w:r>
          </w:p>
        </w:tc>
        <w:tc>
          <w:tcPr>
            <w:tcW w:w="1662" w:type="dxa"/>
            <w:vAlign w:val="center"/>
          </w:tcPr>
          <w:p w:rsidR="00E51332" w:rsidRPr="002B59AE" w:rsidRDefault="00B767C7">
            <w:pPr>
              <w:widowControl/>
              <w:snapToGrid w:val="0"/>
              <w:spacing w:before="60" w:after="60" w:line="240" w:lineRule="auto"/>
              <w:ind w:firstLineChars="0" w:firstLine="0"/>
              <w:jc w:val="center"/>
              <w:rPr>
                <w:rFonts w:ascii="仿宋_GB2312"/>
                <w:kern w:val="0"/>
                <w:sz w:val="28"/>
              </w:rPr>
            </w:pPr>
            <w:r w:rsidRPr="002B59AE">
              <w:rPr>
                <w:rFonts w:ascii="仿宋_GB2312" w:hint="eastAsia"/>
                <w:kern w:val="0"/>
                <w:sz w:val="28"/>
              </w:rPr>
              <w:t>待定</w:t>
            </w:r>
          </w:p>
        </w:tc>
      </w:tr>
      <w:tr w:rsidR="00E51332">
        <w:trPr>
          <w:trHeight w:val="397"/>
        </w:trPr>
        <w:tc>
          <w:tcPr>
            <w:tcW w:w="857" w:type="dxa"/>
            <w:shd w:val="clear" w:color="auto" w:fill="auto"/>
            <w:tcMar>
              <w:left w:w="0" w:type="dxa"/>
              <w:right w:w="0" w:type="dxa"/>
            </w:tcMar>
            <w:vAlign w:val="center"/>
          </w:tcPr>
          <w:p w:rsidR="00E51332" w:rsidRDefault="00E51332">
            <w:pPr>
              <w:pStyle w:val="ae"/>
              <w:widowControl/>
              <w:numPr>
                <w:ilvl w:val="0"/>
                <w:numId w:val="3"/>
              </w:numPr>
              <w:snapToGrid w:val="0"/>
              <w:spacing w:before="60" w:after="60" w:line="240" w:lineRule="auto"/>
              <w:ind w:left="0" w:firstLineChars="0" w:firstLine="0"/>
              <w:jc w:val="center"/>
              <w:rPr>
                <w:kern w:val="0"/>
                <w:sz w:val="28"/>
              </w:rPr>
            </w:pPr>
          </w:p>
        </w:tc>
        <w:tc>
          <w:tcPr>
            <w:tcW w:w="1583" w:type="dxa"/>
            <w:vMerge/>
            <w:tcMar>
              <w:left w:w="0" w:type="dxa"/>
              <w:right w:w="0" w:type="dxa"/>
            </w:tcMar>
            <w:vAlign w:val="center"/>
          </w:tcPr>
          <w:p w:rsidR="00E51332" w:rsidRDefault="00E51332">
            <w:pPr>
              <w:widowControl/>
              <w:snapToGrid w:val="0"/>
              <w:spacing w:before="60" w:after="60" w:line="240" w:lineRule="auto"/>
              <w:ind w:firstLineChars="0" w:firstLine="0"/>
              <w:jc w:val="center"/>
              <w:rPr>
                <w:rFonts w:ascii="仿宋_GB2312"/>
                <w:kern w:val="0"/>
                <w:sz w:val="28"/>
              </w:rPr>
            </w:pPr>
          </w:p>
        </w:tc>
        <w:tc>
          <w:tcPr>
            <w:tcW w:w="4317" w:type="dxa"/>
            <w:shd w:val="clear" w:color="auto" w:fill="auto"/>
            <w:tcMar>
              <w:left w:w="0" w:type="dxa"/>
              <w:right w:w="0" w:type="dxa"/>
            </w:tcMar>
            <w:vAlign w:val="center"/>
          </w:tcPr>
          <w:p w:rsidR="00E51332" w:rsidRDefault="00B767C7">
            <w:pPr>
              <w:widowControl/>
              <w:snapToGrid w:val="0"/>
              <w:spacing w:before="60" w:after="60" w:line="240" w:lineRule="auto"/>
              <w:ind w:firstLineChars="0" w:firstLine="0"/>
              <w:rPr>
                <w:rFonts w:ascii="仿宋_GB2312"/>
                <w:kern w:val="0"/>
                <w:sz w:val="28"/>
              </w:rPr>
            </w:pPr>
            <w:r>
              <w:rPr>
                <w:rFonts w:hint="eastAsia"/>
                <w:sz w:val="28"/>
                <w:szCs w:val="21"/>
              </w:rPr>
              <w:sym w:font="Wingdings" w:char="F0AB"/>
            </w:r>
            <w:r>
              <w:rPr>
                <w:rFonts w:ascii="仿宋_GB2312" w:hint="eastAsia"/>
                <w:kern w:val="0"/>
                <w:sz w:val="28"/>
              </w:rPr>
              <w:t>“一网统管”行业覆盖率（%）</w:t>
            </w:r>
          </w:p>
        </w:tc>
        <w:tc>
          <w:tcPr>
            <w:tcW w:w="1662" w:type="dxa"/>
            <w:vAlign w:val="center"/>
          </w:tcPr>
          <w:p w:rsidR="00E51332" w:rsidRDefault="00B767C7">
            <w:pPr>
              <w:widowControl/>
              <w:snapToGrid w:val="0"/>
              <w:spacing w:before="60" w:after="60" w:line="240" w:lineRule="auto"/>
              <w:ind w:firstLineChars="0" w:firstLine="0"/>
              <w:jc w:val="center"/>
              <w:rPr>
                <w:rFonts w:ascii="仿宋_GB2312"/>
                <w:kern w:val="0"/>
                <w:sz w:val="28"/>
              </w:rPr>
            </w:pPr>
            <w:r>
              <w:rPr>
                <w:rFonts w:ascii="仿宋_GB2312" w:hint="eastAsia"/>
                <w:kern w:val="0"/>
                <w:sz w:val="28"/>
              </w:rPr>
              <w:t>100</w:t>
            </w:r>
          </w:p>
        </w:tc>
      </w:tr>
      <w:tr w:rsidR="00E51332">
        <w:trPr>
          <w:trHeight w:val="397"/>
        </w:trPr>
        <w:tc>
          <w:tcPr>
            <w:tcW w:w="857" w:type="dxa"/>
            <w:shd w:val="clear" w:color="auto" w:fill="auto"/>
            <w:tcMar>
              <w:left w:w="0" w:type="dxa"/>
              <w:right w:w="0" w:type="dxa"/>
            </w:tcMar>
            <w:vAlign w:val="center"/>
          </w:tcPr>
          <w:p w:rsidR="00E51332" w:rsidRDefault="00E51332">
            <w:pPr>
              <w:pStyle w:val="ae"/>
              <w:widowControl/>
              <w:numPr>
                <w:ilvl w:val="0"/>
                <w:numId w:val="3"/>
              </w:numPr>
              <w:snapToGrid w:val="0"/>
              <w:spacing w:before="60" w:after="60" w:line="240" w:lineRule="auto"/>
              <w:ind w:left="0" w:firstLineChars="0" w:firstLine="0"/>
              <w:jc w:val="center"/>
              <w:rPr>
                <w:kern w:val="0"/>
                <w:sz w:val="28"/>
              </w:rPr>
            </w:pPr>
          </w:p>
        </w:tc>
        <w:tc>
          <w:tcPr>
            <w:tcW w:w="1583" w:type="dxa"/>
            <w:vMerge/>
            <w:tcMar>
              <w:left w:w="0" w:type="dxa"/>
              <w:right w:w="0" w:type="dxa"/>
            </w:tcMar>
            <w:vAlign w:val="center"/>
          </w:tcPr>
          <w:p w:rsidR="00E51332" w:rsidRDefault="00E51332">
            <w:pPr>
              <w:widowControl/>
              <w:snapToGrid w:val="0"/>
              <w:spacing w:before="60" w:after="60" w:line="240" w:lineRule="auto"/>
              <w:ind w:firstLineChars="0" w:firstLine="0"/>
              <w:jc w:val="center"/>
              <w:rPr>
                <w:rFonts w:ascii="仿宋_GB2312"/>
                <w:kern w:val="0"/>
                <w:sz w:val="28"/>
              </w:rPr>
            </w:pPr>
          </w:p>
        </w:tc>
        <w:tc>
          <w:tcPr>
            <w:tcW w:w="4317" w:type="dxa"/>
            <w:shd w:val="clear" w:color="auto" w:fill="auto"/>
            <w:tcMar>
              <w:left w:w="0" w:type="dxa"/>
              <w:right w:w="0" w:type="dxa"/>
            </w:tcMar>
            <w:vAlign w:val="center"/>
          </w:tcPr>
          <w:p w:rsidR="00E51332" w:rsidRDefault="00B767C7">
            <w:pPr>
              <w:widowControl/>
              <w:snapToGrid w:val="0"/>
              <w:spacing w:before="60" w:after="60" w:line="240" w:lineRule="auto"/>
              <w:ind w:firstLineChars="0" w:firstLine="0"/>
              <w:rPr>
                <w:rFonts w:ascii="仿宋_GB2312"/>
                <w:kern w:val="0"/>
                <w:sz w:val="28"/>
              </w:rPr>
            </w:pPr>
            <w:r>
              <w:rPr>
                <w:rFonts w:ascii="仿宋_GB2312" w:hint="eastAsia"/>
                <w:kern w:val="0"/>
                <w:sz w:val="28"/>
              </w:rPr>
              <w:t>CIM平台覆盖率（%）</w:t>
            </w:r>
          </w:p>
        </w:tc>
        <w:tc>
          <w:tcPr>
            <w:tcW w:w="1662" w:type="dxa"/>
            <w:vAlign w:val="center"/>
          </w:tcPr>
          <w:p w:rsidR="00E51332" w:rsidRDefault="00B767C7">
            <w:pPr>
              <w:widowControl/>
              <w:snapToGrid w:val="0"/>
              <w:spacing w:before="60" w:after="60" w:line="240" w:lineRule="auto"/>
              <w:ind w:firstLineChars="0" w:firstLine="0"/>
              <w:jc w:val="center"/>
              <w:rPr>
                <w:rFonts w:ascii="仿宋_GB2312"/>
                <w:kern w:val="0"/>
                <w:sz w:val="28"/>
              </w:rPr>
            </w:pPr>
            <w:r w:rsidRPr="002B59AE">
              <w:rPr>
                <w:rFonts w:ascii="仿宋_GB2312"/>
                <w:kern w:val="0"/>
                <w:sz w:val="28"/>
              </w:rPr>
              <w:t>100</w:t>
            </w:r>
          </w:p>
        </w:tc>
      </w:tr>
      <w:tr w:rsidR="00E51332">
        <w:trPr>
          <w:trHeight w:val="397"/>
        </w:trPr>
        <w:tc>
          <w:tcPr>
            <w:tcW w:w="857" w:type="dxa"/>
            <w:shd w:val="clear" w:color="auto" w:fill="auto"/>
            <w:tcMar>
              <w:left w:w="0" w:type="dxa"/>
              <w:right w:w="0" w:type="dxa"/>
            </w:tcMar>
            <w:vAlign w:val="center"/>
          </w:tcPr>
          <w:p w:rsidR="00E51332" w:rsidRDefault="00E51332">
            <w:pPr>
              <w:pStyle w:val="ae"/>
              <w:widowControl/>
              <w:numPr>
                <w:ilvl w:val="0"/>
                <w:numId w:val="3"/>
              </w:numPr>
              <w:snapToGrid w:val="0"/>
              <w:spacing w:before="60" w:after="60" w:line="240" w:lineRule="auto"/>
              <w:ind w:left="0" w:firstLineChars="0" w:firstLine="0"/>
              <w:jc w:val="center"/>
              <w:rPr>
                <w:kern w:val="0"/>
                <w:sz w:val="28"/>
              </w:rPr>
            </w:pPr>
          </w:p>
        </w:tc>
        <w:tc>
          <w:tcPr>
            <w:tcW w:w="1583" w:type="dxa"/>
            <w:vMerge/>
            <w:tcMar>
              <w:left w:w="0" w:type="dxa"/>
              <w:right w:w="0" w:type="dxa"/>
            </w:tcMar>
            <w:vAlign w:val="center"/>
          </w:tcPr>
          <w:p w:rsidR="00E51332" w:rsidRDefault="00E51332">
            <w:pPr>
              <w:widowControl/>
              <w:snapToGrid w:val="0"/>
              <w:spacing w:before="60" w:after="60" w:line="240" w:lineRule="auto"/>
              <w:ind w:firstLineChars="0" w:firstLine="0"/>
              <w:jc w:val="center"/>
              <w:rPr>
                <w:rFonts w:ascii="仿宋_GB2312"/>
                <w:kern w:val="0"/>
                <w:sz w:val="28"/>
              </w:rPr>
            </w:pPr>
          </w:p>
        </w:tc>
        <w:tc>
          <w:tcPr>
            <w:tcW w:w="4317" w:type="dxa"/>
            <w:shd w:val="clear" w:color="auto" w:fill="FFFFFF" w:themeFill="background1"/>
            <w:tcMar>
              <w:left w:w="0" w:type="dxa"/>
              <w:right w:w="0" w:type="dxa"/>
            </w:tcMar>
            <w:vAlign w:val="center"/>
          </w:tcPr>
          <w:p w:rsidR="00E51332" w:rsidRDefault="00B767C7">
            <w:pPr>
              <w:widowControl/>
              <w:snapToGrid w:val="0"/>
              <w:spacing w:before="60" w:after="60" w:line="240" w:lineRule="auto"/>
              <w:ind w:firstLineChars="0" w:firstLine="0"/>
              <w:rPr>
                <w:rFonts w:ascii="仿宋_GB2312"/>
                <w:kern w:val="0"/>
                <w:sz w:val="28"/>
              </w:rPr>
            </w:pPr>
            <w:r>
              <w:rPr>
                <w:rFonts w:hint="eastAsia"/>
                <w:sz w:val="28"/>
                <w:szCs w:val="21"/>
              </w:rPr>
              <w:sym w:font="Wingdings" w:char="F0AB"/>
            </w:r>
            <w:r>
              <w:rPr>
                <w:rFonts w:ascii="仿宋_GB2312" w:hint="eastAsia"/>
                <w:kern w:val="0"/>
                <w:sz w:val="28"/>
              </w:rPr>
              <w:t>视频终端接入数量（万路）</w:t>
            </w:r>
          </w:p>
        </w:tc>
        <w:tc>
          <w:tcPr>
            <w:tcW w:w="1662" w:type="dxa"/>
            <w:shd w:val="clear" w:color="auto" w:fill="FFFFFF" w:themeFill="background1"/>
            <w:vAlign w:val="center"/>
          </w:tcPr>
          <w:p w:rsidR="00E51332" w:rsidRPr="002B59AE" w:rsidRDefault="00B767C7">
            <w:pPr>
              <w:widowControl/>
              <w:snapToGrid w:val="0"/>
              <w:spacing w:before="60" w:after="60" w:line="240" w:lineRule="auto"/>
              <w:ind w:firstLineChars="0" w:firstLine="0"/>
              <w:jc w:val="center"/>
              <w:rPr>
                <w:rFonts w:ascii="仿宋_GB2312"/>
                <w:kern w:val="0"/>
                <w:sz w:val="28"/>
              </w:rPr>
            </w:pPr>
            <w:r w:rsidRPr="002B59AE">
              <w:rPr>
                <w:rFonts w:ascii="仿宋_GB2312"/>
                <w:kern w:val="0"/>
                <w:sz w:val="28"/>
              </w:rPr>
              <w:t>4</w:t>
            </w:r>
          </w:p>
        </w:tc>
      </w:tr>
      <w:tr w:rsidR="00E51332">
        <w:trPr>
          <w:trHeight w:val="397"/>
        </w:trPr>
        <w:tc>
          <w:tcPr>
            <w:tcW w:w="857" w:type="dxa"/>
            <w:shd w:val="clear" w:color="auto" w:fill="auto"/>
            <w:tcMar>
              <w:left w:w="0" w:type="dxa"/>
              <w:right w:w="0" w:type="dxa"/>
            </w:tcMar>
            <w:vAlign w:val="center"/>
          </w:tcPr>
          <w:p w:rsidR="00E51332" w:rsidRDefault="00E51332">
            <w:pPr>
              <w:pStyle w:val="ae"/>
              <w:widowControl/>
              <w:numPr>
                <w:ilvl w:val="0"/>
                <w:numId w:val="3"/>
              </w:numPr>
              <w:snapToGrid w:val="0"/>
              <w:spacing w:before="60" w:after="60" w:line="240" w:lineRule="auto"/>
              <w:ind w:left="0" w:firstLineChars="0" w:firstLine="0"/>
              <w:jc w:val="center"/>
              <w:rPr>
                <w:kern w:val="0"/>
                <w:sz w:val="28"/>
              </w:rPr>
            </w:pPr>
          </w:p>
        </w:tc>
        <w:tc>
          <w:tcPr>
            <w:tcW w:w="1583" w:type="dxa"/>
            <w:vMerge/>
            <w:tcMar>
              <w:left w:w="0" w:type="dxa"/>
              <w:right w:w="0" w:type="dxa"/>
            </w:tcMar>
            <w:vAlign w:val="center"/>
          </w:tcPr>
          <w:p w:rsidR="00E51332" w:rsidRDefault="00E51332">
            <w:pPr>
              <w:widowControl/>
              <w:snapToGrid w:val="0"/>
              <w:spacing w:before="60" w:after="60" w:line="240" w:lineRule="auto"/>
              <w:ind w:firstLineChars="0" w:firstLine="0"/>
              <w:jc w:val="center"/>
              <w:rPr>
                <w:rFonts w:ascii="仿宋_GB2312"/>
                <w:kern w:val="0"/>
                <w:sz w:val="28"/>
              </w:rPr>
            </w:pPr>
          </w:p>
        </w:tc>
        <w:tc>
          <w:tcPr>
            <w:tcW w:w="4317" w:type="dxa"/>
            <w:shd w:val="clear" w:color="auto" w:fill="FFFFFF" w:themeFill="background1"/>
            <w:tcMar>
              <w:left w:w="0" w:type="dxa"/>
              <w:right w:w="0" w:type="dxa"/>
            </w:tcMar>
            <w:vAlign w:val="center"/>
          </w:tcPr>
          <w:p w:rsidR="00E51332" w:rsidRDefault="00B767C7">
            <w:pPr>
              <w:widowControl/>
              <w:snapToGrid w:val="0"/>
              <w:spacing w:before="60" w:after="60" w:line="240" w:lineRule="auto"/>
              <w:ind w:firstLineChars="0" w:firstLine="0"/>
              <w:rPr>
                <w:rFonts w:ascii="仿宋_GB2312"/>
                <w:kern w:val="0"/>
                <w:sz w:val="28"/>
              </w:rPr>
            </w:pPr>
            <w:r>
              <w:rPr>
                <w:rFonts w:ascii="仿宋_GB2312" w:hint="eastAsia"/>
                <w:kern w:val="0"/>
                <w:sz w:val="28"/>
              </w:rPr>
              <w:t>感知终端接入数量（万路）</w:t>
            </w:r>
          </w:p>
        </w:tc>
        <w:tc>
          <w:tcPr>
            <w:tcW w:w="1662" w:type="dxa"/>
            <w:shd w:val="clear" w:color="auto" w:fill="FFFFFF" w:themeFill="background1"/>
            <w:vAlign w:val="center"/>
          </w:tcPr>
          <w:p w:rsidR="00E51332" w:rsidRPr="002B59AE" w:rsidRDefault="00B767C7">
            <w:pPr>
              <w:widowControl/>
              <w:snapToGrid w:val="0"/>
              <w:spacing w:before="60" w:after="60" w:line="240" w:lineRule="auto"/>
              <w:ind w:firstLineChars="0" w:firstLine="0"/>
              <w:jc w:val="center"/>
              <w:rPr>
                <w:rFonts w:ascii="仿宋_GB2312"/>
                <w:kern w:val="0"/>
                <w:sz w:val="28"/>
              </w:rPr>
            </w:pPr>
            <w:r w:rsidRPr="002B59AE">
              <w:rPr>
                <w:rFonts w:ascii="仿宋_GB2312" w:hint="eastAsia"/>
                <w:kern w:val="0"/>
                <w:sz w:val="28"/>
              </w:rPr>
              <w:t>待定</w:t>
            </w:r>
          </w:p>
        </w:tc>
      </w:tr>
      <w:tr w:rsidR="00E51332">
        <w:trPr>
          <w:trHeight w:val="397"/>
        </w:trPr>
        <w:tc>
          <w:tcPr>
            <w:tcW w:w="857" w:type="dxa"/>
            <w:shd w:val="clear" w:color="auto" w:fill="auto"/>
            <w:tcMar>
              <w:left w:w="0" w:type="dxa"/>
              <w:right w:w="0" w:type="dxa"/>
            </w:tcMar>
            <w:vAlign w:val="center"/>
          </w:tcPr>
          <w:p w:rsidR="00E51332" w:rsidRDefault="00E51332">
            <w:pPr>
              <w:pStyle w:val="ae"/>
              <w:widowControl/>
              <w:numPr>
                <w:ilvl w:val="0"/>
                <w:numId w:val="3"/>
              </w:numPr>
              <w:snapToGrid w:val="0"/>
              <w:spacing w:before="60" w:after="60" w:line="240" w:lineRule="auto"/>
              <w:ind w:left="0" w:firstLineChars="0" w:firstLine="0"/>
              <w:jc w:val="center"/>
              <w:rPr>
                <w:kern w:val="0"/>
                <w:sz w:val="28"/>
              </w:rPr>
            </w:pPr>
          </w:p>
        </w:tc>
        <w:tc>
          <w:tcPr>
            <w:tcW w:w="1583" w:type="dxa"/>
            <w:vMerge w:val="restart"/>
            <w:shd w:val="clear" w:color="auto" w:fill="auto"/>
            <w:tcMar>
              <w:left w:w="0" w:type="dxa"/>
              <w:right w:w="0" w:type="dxa"/>
            </w:tcMar>
            <w:vAlign w:val="center"/>
          </w:tcPr>
          <w:p w:rsidR="00E51332" w:rsidRDefault="00B767C7">
            <w:pPr>
              <w:widowControl/>
              <w:snapToGrid w:val="0"/>
              <w:spacing w:before="60" w:after="60" w:line="240" w:lineRule="auto"/>
              <w:ind w:firstLineChars="0" w:firstLine="0"/>
              <w:jc w:val="center"/>
              <w:rPr>
                <w:rFonts w:ascii="仿宋_GB2312"/>
                <w:kern w:val="0"/>
                <w:sz w:val="28"/>
              </w:rPr>
            </w:pPr>
            <w:r>
              <w:rPr>
                <w:rFonts w:ascii="仿宋_GB2312" w:hint="eastAsia"/>
                <w:kern w:val="0"/>
                <w:sz w:val="28"/>
              </w:rPr>
              <w:t>数字化</w:t>
            </w:r>
            <w:r>
              <w:rPr>
                <w:rFonts w:ascii="仿宋_GB2312" w:hint="eastAsia"/>
                <w:kern w:val="0"/>
                <w:sz w:val="28"/>
              </w:rPr>
              <w:br/>
              <w:t>驱动能力</w:t>
            </w:r>
          </w:p>
        </w:tc>
        <w:tc>
          <w:tcPr>
            <w:tcW w:w="4317" w:type="dxa"/>
            <w:shd w:val="clear" w:color="auto" w:fill="auto"/>
            <w:tcMar>
              <w:left w:w="0" w:type="dxa"/>
              <w:right w:w="0" w:type="dxa"/>
            </w:tcMar>
            <w:vAlign w:val="center"/>
          </w:tcPr>
          <w:p w:rsidR="00E51332" w:rsidRDefault="00B767C7">
            <w:pPr>
              <w:widowControl/>
              <w:snapToGrid w:val="0"/>
              <w:spacing w:before="60" w:after="60" w:line="240" w:lineRule="auto"/>
              <w:ind w:firstLineChars="0" w:firstLine="0"/>
              <w:rPr>
                <w:rFonts w:ascii="仿宋_GB2312"/>
                <w:kern w:val="0"/>
                <w:sz w:val="28"/>
              </w:rPr>
            </w:pPr>
            <w:r>
              <w:rPr>
                <w:rFonts w:hint="eastAsia"/>
                <w:sz w:val="28"/>
                <w:szCs w:val="21"/>
              </w:rPr>
              <w:sym w:font="Wingdings" w:char="F0AB"/>
            </w:r>
            <w:r>
              <w:rPr>
                <w:rFonts w:ascii="仿宋_GB2312" w:hint="eastAsia"/>
                <w:kern w:val="0"/>
                <w:sz w:val="28"/>
              </w:rPr>
              <w:t>数据共享需求满足率（%）</w:t>
            </w:r>
          </w:p>
        </w:tc>
        <w:tc>
          <w:tcPr>
            <w:tcW w:w="1662" w:type="dxa"/>
            <w:vAlign w:val="center"/>
          </w:tcPr>
          <w:p w:rsidR="00E51332" w:rsidRDefault="00B767C7">
            <w:pPr>
              <w:widowControl/>
              <w:snapToGrid w:val="0"/>
              <w:spacing w:before="60" w:after="60" w:line="240" w:lineRule="auto"/>
              <w:ind w:firstLineChars="0" w:firstLine="0"/>
              <w:jc w:val="center"/>
              <w:rPr>
                <w:rFonts w:ascii="仿宋_GB2312"/>
                <w:kern w:val="0"/>
                <w:sz w:val="28"/>
              </w:rPr>
            </w:pPr>
            <w:r>
              <w:rPr>
                <w:rFonts w:ascii="仿宋_GB2312" w:hint="eastAsia"/>
                <w:kern w:val="0"/>
                <w:sz w:val="28"/>
              </w:rPr>
              <w:t>80</w:t>
            </w:r>
          </w:p>
        </w:tc>
      </w:tr>
      <w:tr w:rsidR="00E51332">
        <w:trPr>
          <w:trHeight w:val="397"/>
        </w:trPr>
        <w:tc>
          <w:tcPr>
            <w:tcW w:w="857" w:type="dxa"/>
            <w:shd w:val="clear" w:color="auto" w:fill="auto"/>
            <w:tcMar>
              <w:left w:w="0" w:type="dxa"/>
              <w:right w:w="0" w:type="dxa"/>
            </w:tcMar>
            <w:vAlign w:val="center"/>
          </w:tcPr>
          <w:p w:rsidR="00E51332" w:rsidRDefault="00E51332">
            <w:pPr>
              <w:pStyle w:val="ae"/>
              <w:widowControl/>
              <w:numPr>
                <w:ilvl w:val="0"/>
                <w:numId w:val="3"/>
              </w:numPr>
              <w:snapToGrid w:val="0"/>
              <w:spacing w:before="60" w:after="60" w:line="240" w:lineRule="auto"/>
              <w:ind w:left="0" w:firstLineChars="0" w:firstLine="0"/>
              <w:jc w:val="center"/>
              <w:rPr>
                <w:kern w:val="0"/>
                <w:sz w:val="28"/>
              </w:rPr>
            </w:pPr>
          </w:p>
        </w:tc>
        <w:tc>
          <w:tcPr>
            <w:tcW w:w="1583" w:type="dxa"/>
            <w:vMerge/>
            <w:shd w:val="clear" w:color="auto" w:fill="auto"/>
            <w:tcMar>
              <w:left w:w="0" w:type="dxa"/>
              <w:right w:w="0" w:type="dxa"/>
            </w:tcMar>
            <w:vAlign w:val="center"/>
          </w:tcPr>
          <w:p w:rsidR="00E51332" w:rsidRDefault="00E51332">
            <w:pPr>
              <w:widowControl/>
              <w:snapToGrid w:val="0"/>
              <w:spacing w:before="60" w:after="60" w:line="240" w:lineRule="auto"/>
              <w:ind w:firstLineChars="0" w:firstLine="0"/>
              <w:jc w:val="center"/>
              <w:rPr>
                <w:rFonts w:ascii="仿宋_GB2312"/>
                <w:kern w:val="0"/>
                <w:sz w:val="28"/>
              </w:rPr>
            </w:pPr>
          </w:p>
        </w:tc>
        <w:tc>
          <w:tcPr>
            <w:tcW w:w="4317" w:type="dxa"/>
            <w:shd w:val="clear" w:color="auto" w:fill="auto"/>
            <w:tcMar>
              <w:left w:w="0" w:type="dxa"/>
              <w:right w:w="0" w:type="dxa"/>
            </w:tcMar>
            <w:vAlign w:val="center"/>
          </w:tcPr>
          <w:p w:rsidR="00E51332" w:rsidRDefault="00B767C7">
            <w:pPr>
              <w:widowControl/>
              <w:snapToGrid w:val="0"/>
              <w:spacing w:before="60" w:after="60" w:line="240" w:lineRule="auto"/>
              <w:ind w:firstLineChars="0" w:firstLine="0"/>
              <w:rPr>
                <w:rFonts w:ascii="仿宋_GB2312"/>
                <w:kern w:val="0"/>
                <w:sz w:val="28"/>
                <w:highlight w:val="yellow"/>
              </w:rPr>
            </w:pPr>
            <w:r>
              <w:rPr>
                <w:rFonts w:ascii="仿宋_GB2312" w:hint="eastAsia"/>
                <w:kern w:val="0"/>
                <w:sz w:val="28"/>
              </w:rPr>
              <w:t>政府数字化覆盖率（</w:t>
            </w:r>
            <w:r>
              <w:rPr>
                <w:rFonts w:ascii="仿宋_GB2312"/>
                <w:kern w:val="0"/>
                <w:sz w:val="28"/>
              </w:rPr>
              <w:t>%）</w:t>
            </w:r>
          </w:p>
        </w:tc>
        <w:tc>
          <w:tcPr>
            <w:tcW w:w="1662" w:type="dxa"/>
            <w:vAlign w:val="center"/>
          </w:tcPr>
          <w:p w:rsidR="00E51332" w:rsidRPr="002B59AE" w:rsidRDefault="00B767C7">
            <w:pPr>
              <w:widowControl/>
              <w:snapToGrid w:val="0"/>
              <w:spacing w:before="60" w:after="60" w:line="240" w:lineRule="auto"/>
              <w:ind w:firstLineChars="0" w:firstLine="0"/>
              <w:jc w:val="center"/>
              <w:rPr>
                <w:rFonts w:ascii="仿宋_GB2312"/>
                <w:kern w:val="0"/>
                <w:sz w:val="28"/>
              </w:rPr>
            </w:pPr>
            <w:r w:rsidRPr="002B59AE">
              <w:rPr>
                <w:rFonts w:ascii="仿宋_GB2312"/>
                <w:kern w:val="0"/>
                <w:sz w:val="28"/>
              </w:rPr>
              <w:t>90</w:t>
            </w:r>
          </w:p>
        </w:tc>
      </w:tr>
      <w:tr w:rsidR="00E51332">
        <w:trPr>
          <w:trHeight w:val="397"/>
        </w:trPr>
        <w:tc>
          <w:tcPr>
            <w:tcW w:w="857" w:type="dxa"/>
            <w:shd w:val="clear" w:color="auto" w:fill="auto"/>
            <w:tcMar>
              <w:left w:w="0" w:type="dxa"/>
              <w:right w:w="0" w:type="dxa"/>
            </w:tcMar>
            <w:vAlign w:val="center"/>
          </w:tcPr>
          <w:p w:rsidR="00E51332" w:rsidRDefault="00E51332">
            <w:pPr>
              <w:pStyle w:val="ae"/>
              <w:widowControl/>
              <w:numPr>
                <w:ilvl w:val="0"/>
                <w:numId w:val="3"/>
              </w:numPr>
              <w:snapToGrid w:val="0"/>
              <w:spacing w:before="60" w:after="60" w:line="240" w:lineRule="auto"/>
              <w:ind w:left="0" w:firstLineChars="0" w:firstLine="0"/>
              <w:jc w:val="center"/>
              <w:rPr>
                <w:kern w:val="0"/>
                <w:sz w:val="28"/>
              </w:rPr>
            </w:pPr>
          </w:p>
        </w:tc>
        <w:tc>
          <w:tcPr>
            <w:tcW w:w="1583" w:type="dxa"/>
            <w:vMerge/>
            <w:shd w:val="clear" w:color="auto" w:fill="auto"/>
            <w:tcMar>
              <w:left w:w="0" w:type="dxa"/>
              <w:right w:w="0" w:type="dxa"/>
            </w:tcMar>
            <w:vAlign w:val="center"/>
          </w:tcPr>
          <w:p w:rsidR="00E51332" w:rsidRDefault="00E51332">
            <w:pPr>
              <w:widowControl/>
              <w:snapToGrid w:val="0"/>
              <w:spacing w:before="60" w:after="60" w:line="240" w:lineRule="auto"/>
              <w:ind w:firstLineChars="0" w:firstLine="0"/>
              <w:jc w:val="center"/>
              <w:rPr>
                <w:rFonts w:ascii="仿宋_GB2312"/>
                <w:kern w:val="0"/>
                <w:sz w:val="28"/>
              </w:rPr>
            </w:pPr>
          </w:p>
        </w:tc>
        <w:tc>
          <w:tcPr>
            <w:tcW w:w="4317" w:type="dxa"/>
            <w:shd w:val="clear" w:color="auto" w:fill="auto"/>
            <w:tcMar>
              <w:left w:w="0" w:type="dxa"/>
              <w:right w:w="0" w:type="dxa"/>
            </w:tcMar>
            <w:vAlign w:val="center"/>
          </w:tcPr>
          <w:p w:rsidR="00E51332" w:rsidRDefault="00B767C7">
            <w:pPr>
              <w:widowControl/>
              <w:snapToGrid w:val="0"/>
              <w:spacing w:before="60" w:after="60" w:line="240" w:lineRule="auto"/>
              <w:ind w:firstLineChars="0" w:firstLine="0"/>
              <w:rPr>
                <w:rFonts w:ascii="仿宋_GB2312"/>
                <w:kern w:val="0"/>
                <w:sz w:val="28"/>
              </w:rPr>
            </w:pPr>
            <w:r>
              <w:rPr>
                <w:rFonts w:ascii="仿宋_GB2312" w:hint="eastAsia"/>
                <w:kern w:val="0"/>
                <w:sz w:val="28"/>
              </w:rPr>
              <w:t>数字化智能化应用场景（</w:t>
            </w:r>
            <w:proofErr w:type="gramStart"/>
            <w:r>
              <w:rPr>
                <w:rFonts w:ascii="仿宋_GB2312" w:hint="eastAsia"/>
                <w:kern w:val="0"/>
                <w:sz w:val="28"/>
              </w:rPr>
              <w:t>个</w:t>
            </w:r>
            <w:proofErr w:type="gramEnd"/>
            <w:r>
              <w:rPr>
                <w:rFonts w:ascii="仿宋_GB2312" w:hint="eastAsia"/>
                <w:kern w:val="0"/>
                <w:sz w:val="28"/>
              </w:rPr>
              <w:t>）</w:t>
            </w:r>
          </w:p>
        </w:tc>
        <w:tc>
          <w:tcPr>
            <w:tcW w:w="1662" w:type="dxa"/>
            <w:vAlign w:val="center"/>
          </w:tcPr>
          <w:p w:rsidR="00E51332" w:rsidRDefault="00B767C7">
            <w:pPr>
              <w:widowControl/>
              <w:snapToGrid w:val="0"/>
              <w:spacing w:before="60" w:after="60" w:line="240" w:lineRule="auto"/>
              <w:ind w:firstLineChars="0" w:firstLine="0"/>
              <w:jc w:val="center"/>
              <w:rPr>
                <w:rFonts w:ascii="仿宋_GB2312"/>
                <w:kern w:val="0"/>
                <w:sz w:val="28"/>
              </w:rPr>
            </w:pPr>
            <w:r>
              <w:rPr>
                <w:rFonts w:ascii="仿宋_GB2312" w:hint="eastAsia"/>
                <w:kern w:val="0"/>
                <w:sz w:val="28"/>
              </w:rPr>
              <w:t>20</w:t>
            </w:r>
          </w:p>
        </w:tc>
      </w:tr>
      <w:tr w:rsidR="00E51332">
        <w:trPr>
          <w:trHeight w:val="397"/>
        </w:trPr>
        <w:tc>
          <w:tcPr>
            <w:tcW w:w="857" w:type="dxa"/>
            <w:shd w:val="clear" w:color="auto" w:fill="auto"/>
            <w:tcMar>
              <w:left w:w="0" w:type="dxa"/>
              <w:right w:w="0" w:type="dxa"/>
            </w:tcMar>
            <w:vAlign w:val="center"/>
          </w:tcPr>
          <w:p w:rsidR="00E51332" w:rsidRDefault="00E51332">
            <w:pPr>
              <w:pStyle w:val="ae"/>
              <w:widowControl/>
              <w:numPr>
                <w:ilvl w:val="0"/>
                <w:numId w:val="3"/>
              </w:numPr>
              <w:snapToGrid w:val="0"/>
              <w:spacing w:before="60" w:after="60" w:line="240" w:lineRule="auto"/>
              <w:ind w:left="0" w:firstLineChars="0" w:firstLine="0"/>
              <w:jc w:val="center"/>
              <w:rPr>
                <w:kern w:val="0"/>
                <w:sz w:val="28"/>
              </w:rPr>
            </w:pPr>
          </w:p>
        </w:tc>
        <w:tc>
          <w:tcPr>
            <w:tcW w:w="1583" w:type="dxa"/>
            <w:vMerge/>
            <w:shd w:val="clear" w:color="auto" w:fill="auto"/>
            <w:tcMar>
              <w:left w:w="0" w:type="dxa"/>
              <w:right w:w="0" w:type="dxa"/>
            </w:tcMar>
            <w:vAlign w:val="center"/>
          </w:tcPr>
          <w:p w:rsidR="00E51332" w:rsidRDefault="00E51332">
            <w:pPr>
              <w:widowControl/>
              <w:snapToGrid w:val="0"/>
              <w:spacing w:before="60" w:after="60" w:line="240" w:lineRule="auto"/>
              <w:ind w:firstLineChars="0" w:firstLine="0"/>
              <w:jc w:val="center"/>
              <w:rPr>
                <w:rFonts w:ascii="仿宋_GB2312"/>
                <w:kern w:val="0"/>
                <w:sz w:val="28"/>
              </w:rPr>
            </w:pPr>
          </w:p>
        </w:tc>
        <w:tc>
          <w:tcPr>
            <w:tcW w:w="4317" w:type="dxa"/>
            <w:shd w:val="clear" w:color="auto" w:fill="auto"/>
            <w:tcMar>
              <w:left w:w="0" w:type="dxa"/>
              <w:right w:w="0" w:type="dxa"/>
            </w:tcMar>
            <w:vAlign w:val="center"/>
          </w:tcPr>
          <w:p w:rsidR="00E51332" w:rsidRDefault="00B767C7">
            <w:pPr>
              <w:widowControl/>
              <w:snapToGrid w:val="0"/>
              <w:spacing w:before="60" w:after="60" w:line="240" w:lineRule="auto"/>
              <w:ind w:firstLineChars="0" w:firstLine="0"/>
              <w:rPr>
                <w:rFonts w:ascii="仿宋_GB2312"/>
                <w:kern w:val="0"/>
                <w:sz w:val="28"/>
              </w:rPr>
            </w:pPr>
            <w:r>
              <w:rPr>
                <w:rFonts w:hint="eastAsia"/>
                <w:sz w:val="28"/>
                <w:szCs w:val="21"/>
              </w:rPr>
              <w:sym w:font="Wingdings" w:char="F0AB"/>
            </w:r>
            <w:r>
              <w:rPr>
                <w:rFonts w:ascii="仿宋_GB2312" w:hint="eastAsia"/>
                <w:kern w:val="0"/>
                <w:sz w:val="28"/>
              </w:rPr>
              <w:t>公共数据资源社会开放数据集（</w:t>
            </w:r>
            <w:proofErr w:type="gramStart"/>
            <w:r>
              <w:rPr>
                <w:rFonts w:ascii="仿宋_GB2312" w:hint="eastAsia"/>
                <w:kern w:val="0"/>
                <w:sz w:val="28"/>
              </w:rPr>
              <w:t>个</w:t>
            </w:r>
            <w:proofErr w:type="gramEnd"/>
            <w:r>
              <w:rPr>
                <w:rFonts w:ascii="仿宋_GB2312" w:hint="eastAsia"/>
                <w:kern w:val="0"/>
                <w:sz w:val="28"/>
              </w:rPr>
              <w:t>）</w:t>
            </w:r>
          </w:p>
        </w:tc>
        <w:tc>
          <w:tcPr>
            <w:tcW w:w="1662" w:type="dxa"/>
            <w:vAlign w:val="center"/>
          </w:tcPr>
          <w:p w:rsidR="00E51332" w:rsidRDefault="00B767C7">
            <w:pPr>
              <w:widowControl/>
              <w:snapToGrid w:val="0"/>
              <w:spacing w:before="60" w:after="60" w:line="240" w:lineRule="auto"/>
              <w:ind w:firstLineChars="0" w:firstLine="0"/>
              <w:jc w:val="center"/>
              <w:rPr>
                <w:rFonts w:ascii="仿宋_GB2312"/>
                <w:kern w:val="0"/>
                <w:sz w:val="28"/>
              </w:rPr>
            </w:pPr>
            <w:r w:rsidRPr="002B59AE">
              <w:rPr>
                <w:rFonts w:ascii="仿宋_GB2312"/>
                <w:kern w:val="0"/>
                <w:sz w:val="28"/>
              </w:rPr>
              <w:t>600</w:t>
            </w:r>
          </w:p>
        </w:tc>
      </w:tr>
      <w:tr w:rsidR="00E51332">
        <w:trPr>
          <w:trHeight w:val="397"/>
        </w:trPr>
        <w:tc>
          <w:tcPr>
            <w:tcW w:w="857" w:type="dxa"/>
            <w:shd w:val="clear" w:color="auto" w:fill="auto"/>
            <w:tcMar>
              <w:left w:w="0" w:type="dxa"/>
              <w:right w:w="0" w:type="dxa"/>
            </w:tcMar>
            <w:vAlign w:val="center"/>
          </w:tcPr>
          <w:p w:rsidR="00E51332" w:rsidRDefault="00E51332">
            <w:pPr>
              <w:pStyle w:val="ae"/>
              <w:widowControl/>
              <w:numPr>
                <w:ilvl w:val="0"/>
                <w:numId w:val="3"/>
              </w:numPr>
              <w:snapToGrid w:val="0"/>
              <w:spacing w:before="60" w:after="60" w:line="240" w:lineRule="auto"/>
              <w:ind w:left="0" w:firstLineChars="0" w:firstLine="0"/>
              <w:jc w:val="center"/>
              <w:rPr>
                <w:kern w:val="0"/>
                <w:sz w:val="28"/>
              </w:rPr>
            </w:pPr>
          </w:p>
        </w:tc>
        <w:tc>
          <w:tcPr>
            <w:tcW w:w="1583" w:type="dxa"/>
            <w:vMerge w:val="restart"/>
            <w:shd w:val="clear" w:color="auto" w:fill="auto"/>
            <w:tcMar>
              <w:left w:w="0" w:type="dxa"/>
              <w:right w:w="0" w:type="dxa"/>
            </w:tcMar>
            <w:vAlign w:val="center"/>
          </w:tcPr>
          <w:p w:rsidR="00E51332" w:rsidRDefault="00B767C7">
            <w:pPr>
              <w:widowControl/>
              <w:snapToGrid w:val="0"/>
              <w:spacing w:before="60" w:after="60" w:line="240" w:lineRule="auto"/>
              <w:ind w:firstLineChars="0" w:firstLine="0"/>
              <w:jc w:val="center"/>
              <w:rPr>
                <w:rFonts w:ascii="仿宋_GB2312"/>
                <w:kern w:val="0"/>
                <w:sz w:val="28"/>
              </w:rPr>
            </w:pPr>
            <w:r>
              <w:rPr>
                <w:rFonts w:ascii="仿宋_GB2312" w:hint="eastAsia"/>
                <w:kern w:val="0"/>
                <w:sz w:val="28"/>
              </w:rPr>
              <w:t>数字化</w:t>
            </w:r>
            <w:r>
              <w:rPr>
                <w:rFonts w:ascii="仿宋_GB2312" w:hint="eastAsia"/>
                <w:kern w:val="0"/>
                <w:sz w:val="28"/>
              </w:rPr>
              <w:br/>
              <w:t>支撑能力</w:t>
            </w:r>
          </w:p>
        </w:tc>
        <w:tc>
          <w:tcPr>
            <w:tcW w:w="4317" w:type="dxa"/>
            <w:shd w:val="clear" w:color="auto" w:fill="auto"/>
            <w:tcMar>
              <w:left w:w="0" w:type="dxa"/>
              <w:right w:w="0" w:type="dxa"/>
            </w:tcMar>
            <w:vAlign w:val="center"/>
          </w:tcPr>
          <w:p w:rsidR="00E51332" w:rsidRDefault="00B767C7">
            <w:pPr>
              <w:widowControl/>
              <w:snapToGrid w:val="0"/>
              <w:spacing w:before="60" w:after="60" w:line="240" w:lineRule="auto"/>
              <w:ind w:firstLineChars="0" w:firstLine="0"/>
              <w:rPr>
                <w:rFonts w:ascii="仿宋_GB2312"/>
                <w:kern w:val="0"/>
                <w:sz w:val="28"/>
              </w:rPr>
            </w:pPr>
            <w:r>
              <w:rPr>
                <w:rFonts w:hint="eastAsia"/>
                <w:sz w:val="28"/>
                <w:szCs w:val="21"/>
              </w:rPr>
              <w:sym w:font="Wingdings" w:char="F0AB"/>
            </w:r>
            <w:r>
              <w:rPr>
                <w:rFonts w:ascii="仿宋_GB2312" w:hint="eastAsia"/>
                <w:kern w:val="0"/>
                <w:sz w:val="28"/>
              </w:rPr>
              <w:t>政务</w:t>
            </w:r>
            <w:proofErr w:type="gramStart"/>
            <w:r>
              <w:rPr>
                <w:rFonts w:ascii="仿宋_GB2312" w:hint="eastAsia"/>
                <w:kern w:val="0"/>
                <w:sz w:val="28"/>
              </w:rPr>
              <w:t>云资源算力</w:t>
            </w:r>
            <w:proofErr w:type="gramEnd"/>
            <w:r>
              <w:rPr>
                <w:rFonts w:ascii="仿宋_GB2312" w:hint="eastAsia"/>
                <w:kern w:val="0"/>
                <w:sz w:val="28"/>
              </w:rPr>
              <w:t>规模（万核）</w:t>
            </w:r>
          </w:p>
        </w:tc>
        <w:tc>
          <w:tcPr>
            <w:tcW w:w="1662" w:type="dxa"/>
            <w:vAlign w:val="center"/>
          </w:tcPr>
          <w:p w:rsidR="00E51332" w:rsidRDefault="00B767C7">
            <w:pPr>
              <w:widowControl/>
              <w:snapToGrid w:val="0"/>
              <w:spacing w:before="60" w:after="60" w:line="240" w:lineRule="auto"/>
              <w:ind w:firstLineChars="0" w:firstLine="0"/>
              <w:jc w:val="center"/>
              <w:rPr>
                <w:rFonts w:ascii="仿宋_GB2312"/>
                <w:kern w:val="0"/>
                <w:sz w:val="28"/>
              </w:rPr>
            </w:pPr>
            <w:r w:rsidRPr="002B59AE">
              <w:rPr>
                <w:rFonts w:ascii="仿宋_GB2312"/>
                <w:kern w:val="0"/>
                <w:sz w:val="28"/>
              </w:rPr>
              <w:t>3</w:t>
            </w:r>
          </w:p>
        </w:tc>
      </w:tr>
      <w:tr w:rsidR="00E51332">
        <w:trPr>
          <w:trHeight w:val="397"/>
        </w:trPr>
        <w:tc>
          <w:tcPr>
            <w:tcW w:w="857" w:type="dxa"/>
            <w:shd w:val="clear" w:color="auto" w:fill="auto"/>
            <w:tcMar>
              <w:left w:w="0" w:type="dxa"/>
              <w:right w:w="0" w:type="dxa"/>
            </w:tcMar>
            <w:vAlign w:val="center"/>
          </w:tcPr>
          <w:p w:rsidR="00E51332" w:rsidRDefault="00E51332">
            <w:pPr>
              <w:pStyle w:val="ae"/>
              <w:widowControl/>
              <w:numPr>
                <w:ilvl w:val="0"/>
                <w:numId w:val="3"/>
              </w:numPr>
              <w:snapToGrid w:val="0"/>
              <w:spacing w:before="60" w:after="60" w:line="240" w:lineRule="auto"/>
              <w:ind w:left="0" w:firstLineChars="0" w:firstLine="0"/>
              <w:jc w:val="center"/>
              <w:rPr>
                <w:kern w:val="0"/>
                <w:sz w:val="28"/>
              </w:rPr>
            </w:pPr>
          </w:p>
        </w:tc>
        <w:tc>
          <w:tcPr>
            <w:tcW w:w="1583" w:type="dxa"/>
            <w:vMerge/>
            <w:tcMar>
              <w:left w:w="0" w:type="dxa"/>
              <w:right w:w="0" w:type="dxa"/>
            </w:tcMar>
            <w:vAlign w:val="center"/>
          </w:tcPr>
          <w:p w:rsidR="00E51332" w:rsidRDefault="00E51332">
            <w:pPr>
              <w:widowControl/>
              <w:snapToGrid w:val="0"/>
              <w:spacing w:before="60" w:after="60" w:line="240" w:lineRule="auto"/>
              <w:ind w:firstLineChars="0" w:firstLine="0"/>
              <w:jc w:val="center"/>
              <w:rPr>
                <w:rFonts w:ascii="仿宋_GB2312"/>
                <w:kern w:val="0"/>
                <w:sz w:val="28"/>
              </w:rPr>
            </w:pPr>
          </w:p>
        </w:tc>
        <w:tc>
          <w:tcPr>
            <w:tcW w:w="4317" w:type="dxa"/>
            <w:shd w:val="clear" w:color="auto" w:fill="auto"/>
            <w:tcMar>
              <w:left w:w="0" w:type="dxa"/>
              <w:right w:w="0" w:type="dxa"/>
            </w:tcMar>
            <w:vAlign w:val="center"/>
          </w:tcPr>
          <w:p w:rsidR="00E51332" w:rsidRDefault="00B767C7">
            <w:pPr>
              <w:widowControl/>
              <w:snapToGrid w:val="0"/>
              <w:spacing w:before="60" w:after="60" w:line="240" w:lineRule="auto"/>
              <w:ind w:firstLineChars="0" w:firstLine="0"/>
              <w:rPr>
                <w:rFonts w:ascii="仿宋_GB2312"/>
                <w:kern w:val="0"/>
                <w:sz w:val="28"/>
              </w:rPr>
            </w:pPr>
            <w:r>
              <w:rPr>
                <w:rFonts w:hint="eastAsia"/>
                <w:sz w:val="28"/>
                <w:szCs w:val="21"/>
              </w:rPr>
              <w:sym w:font="Wingdings" w:char="F0AB"/>
            </w:r>
            <w:r>
              <w:rPr>
                <w:rFonts w:ascii="仿宋_GB2312" w:hint="eastAsia"/>
                <w:kern w:val="0"/>
                <w:sz w:val="28"/>
              </w:rPr>
              <w:t>政务外网接入率（%）</w:t>
            </w:r>
          </w:p>
        </w:tc>
        <w:tc>
          <w:tcPr>
            <w:tcW w:w="1662" w:type="dxa"/>
            <w:vAlign w:val="center"/>
          </w:tcPr>
          <w:p w:rsidR="00E51332" w:rsidRDefault="00B767C7">
            <w:pPr>
              <w:widowControl/>
              <w:snapToGrid w:val="0"/>
              <w:spacing w:before="60" w:after="60" w:line="240" w:lineRule="auto"/>
              <w:ind w:firstLineChars="0" w:firstLine="0"/>
              <w:jc w:val="center"/>
              <w:rPr>
                <w:rFonts w:ascii="仿宋_GB2312"/>
                <w:kern w:val="0"/>
                <w:sz w:val="28"/>
              </w:rPr>
            </w:pPr>
            <w:r>
              <w:rPr>
                <w:rFonts w:ascii="仿宋_GB2312" w:hint="eastAsia"/>
                <w:kern w:val="0"/>
                <w:sz w:val="28"/>
              </w:rPr>
              <w:t>90</w:t>
            </w:r>
          </w:p>
        </w:tc>
      </w:tr>
      <w:tr w:rsidR="00E51332">
        <w:trPr>
          <w:trHeight w:val="397"/>
        </w:trPr>
        <w:tc>
          <w:tcPr>
            <w:tcW w:w="857" w:type="dxa"/>
            <w:shd w:val="clear" w:color="auto" w:fill="auto"/>
            <w:tcMar>
              <w:left w:w="0" w:type="dxa"/>
              <w:right w:w="0" w:type="dxa"/>
            </w:tcMar>
            <w:vAlign w:val="center"/>
          </w:tcPr>
          <w:p w:rsidR="00E51332" w:rsidRDefault="00E51332">
            <w:pPr>
              <w:pStyle w:val="ae"/>
              <w:widowControl/>
              <w:numPr>
                <w:ilvl w:val="0"/>
                <w:numId w:val="3"/>
              </w:numPr>
              <w:snapToGrid w:val="0"/>
              <w:spacing w:before="60" w:after="60" w:line="240" w:lineRule="auto"/>
              <w:ind w:left="0" w:firstLineChars="0" w:firstLine="0"/>
              <w:jc w:val="center"/>
              <w:rPr>
                <w:kern w:val="0"/>
                <w:sz w:val="28"/>
              </w:rPr>
            </w:pPr>
          </w:p>
        </w:tc>
        <w:tc>
          <w:tcPr>
            <w:tcW w:w="1583" w:type="dxa"/>
            <w:vMerge/>
            <w:tcMar>
              <w:left w:w="0" w:type="dxa"/>
              <w:right w:w="0" w:type="dxa"/>
            </w:tcMar>
            <w:vAlign w:val="center"/>
          </w:tcPr>
          <w:p w:rsidR="00E51332" w:rsidRDefault="00E51332">
            <w:pPr>
              <w:widowControl/>
              <w:snapToGrid w:val="0"/>
              <w:spacing w:before="60" w:after="60" w:line="240" w:lineRule="auto"/>
              <w:ind w:firstLineChars="0" w:firstLine="0"/>
              <w:jc w:val="center"/>
              <w:rPr>
                <w:rFonts w:ascii="仿宋_GB2312"/>
                <w:kern w:val="0"/>
                <w:sz w:val="28"/>
              </w:rPr>
            </w:pPr>
          </w:p>
        </w:tc>
        <w:tc>
          <w:tcPr>
            <w:tcW w:w="4317" w:type="dxa"/>
            <w:shd w:val="clear" w:color="auto" w:fill="auto"/>
            <w:tcMar>
              <w:left w:w="0" w:type="dxa"/>
              <w:right w:w="0" w:type="dxa"/>
            </w:tcMar>
            <w:vAlign w:val="center"/>
          </w:tcPr>
          <w:p w:rsidR="00E51332" w:rsidRDefault="00B767C7">
            <w:pPr>
              <w:widowControl/>
              <w:snapToGrid w:val="0"/>
              <w:spacing w:before="60" w:after="60" w:line="240" w:lineRule="auto"/>
              <w:ind w:firstLineChars="0" w:firstLine="0"/>
              <w:rPr>
                <w:rFonts w:ascii="仿宋_GB2312"/>
                <w:kern w:val="0"/>
                <w:sz w:val="28"/>
              </w:rPr>
            </w:pPr>
            <w:r>
              <w:rPr>
                <w:rFonts w:hint="eastAsia"/>
                <w:sz w:val="28"/>
                <w:szCs w:val="21"/>
              </w:rPr>
              <w:sym w:font="Wingdings" w:char="F0AB"/>
            </w:r>
            <w:r>
              <w:rPr>
                <w:rFonts w:ascii="仿宋_GB2312" w:hint="eastAsia"/>
                <w:kern w:val="0"/>
                <w:sz w:val="28"/>
              </w:rPr>
              <w:t>电子证</w:t>
            </w:r>
            <w:proofErr w:type="gramStart"/>
            <w:r>
              <w:rPr>
                <w:rFonts w:ascii="仿宋_GB2312" w:hint="eastAsia"/>
                <w:kern w:val="0"/>
                <w:sz w:val="28"/>
              </w:rPr>
              <w:t>照用证</w:t>
            </w:r>
            <w:proofErr w:type="gramEnd"/>
            <w:r>
              <w:rPr>
                <w:rFonts w:ascii="仿宋_GB2312" w:hint="eastAsia"/>
                <w:kern w:val="0"/>
                <w:sz w:val="28"/>
              </w:rPr>
              <w:t>率（%）</w:t>
            </w:r>
          </w:p>
        </w:tc>
        <w:tc>
          <w:tcPr>
            <w:tcW w:w="1662" w:type="dxa"/>
            <w:vAlign w:val="center"/>
          </w:tcPr>
          <w:p w:rsidR="00E51332" w:rsidRDefault="00B767C7">
            <w:pPr>
              <w:widowControl/>
              <w:snapToGrid w:val="0"/>
              <w:spacing w:before="60" w:after="60" w:line="240" w:lineRule="auto"/>
              <w:ind w:firstLineChars="0" w:firstLine="0"/>
              <w:jc w:val="center"/>
              <w:rPr>
                <w:rFonts w:ascii="仿宋_GB2312"/>
                <w:kern w:val="0"/>
                <w:sz w:val="28"/>
              </w:rPr>
            </w:pPr>
            <w:r>
              <w:rPr>
                <w:rFonts w:ascii="仿宋_GB2312" w:hint="eastAsia"/>
                <w:kern w:val="0"/>
                <w:sz w:val="28"/>
              </w:rPr>
              <w:t>80</w:t>
            </w:r>
          </w:p>
        </w:tc>
      </w:tr>
      <w:tr w:rsidR="00E51332">
        <w:trPr>
          <w:trHeight w:val="397"/>
        </w:trPr>
        <w:tc>
          <w:tcPr>
            <w:tcW w:w="857" w:type="dxa"/>
            <w:shd w:val="clear" w:color="auto" w:fill="auto"/>
            <w:tcMar>
              <w:left w:w="0" w:type="dxa"/>
              <w:right w:w="0" w:type="dxa"/>
            </w:tcMar>
            <w:vAlign w:val="center"/>
          </w:tcPr>
          <w:p w:rsidR="00E51332" w:rsidRDefault="00E51332">
            <w:pPr>
              <w:pStyle w:val="ae"/>
              <w:widowControl/>
              <w:numPr>
                <w:ilvl w:val="0"/>
                <w:numId w:val="3"/>
              </w:numPr>
              <w:snapToGrid w:val="0"/>
              <w:spacing w:before="60" w:after="60" w:line="240" w:lineRule="auto"/>
              <w:ind w:left="0" w:firstLineChars="0" w:firstLine="0"/>
              <w:jc w:val="center"/>
              <w:rPr>
                <w:kern w:val="0"/>
                <w:sz w:val="28"/>
              </w:rPr>
            </w:pPr>
          </w:p>
        </w:tc>
        <w:tc>
          <w:tcPr>
            <w:tcW w:w="1583" w:type="dxa"/>
            <w:vMerge/>
            <w:tcMar>
              <w:left w:w="0" w:type="dxa"/>
              <w:right w:w="0" w:type="dxa"/>
            </w:tcMar>
            <w:vAlign w:val="center"/>
          </w:tcPr>
          <w:p w:rsidR="00E51332" w:rsidRDefault="00E51332">
            <w:pPr>
              <w:widowControl/>
              <w:snapToGrid w:val="0"/>
              <w:spacing w:before="60" w:after="60" w:line="240" w:lineRule="auto"/>
              <w:ind w:firstLineChars="0" w:firstLine="0"/>
              <w:jc w:val="center"/>
              <w:rPr>
                <w:rFonts w:ascii="仿宋_GB2312"/>
                <w:kern w:val="0"/>
                <w:sz w:val="28"/>
              </w:rPr>
            </w:pPr>
          </w:p>
        </w:tc>
        <w:tc>
          <w:tcPr>
            <w:tcW w:w="4317" w:type="dxa"/>
            <w:shd w:val="clear" w:color="auto" w:fill="auto"/>
            <w:tcMar>
              <w:left w:w="0" w:type="dxa"/>
              <w:right w:w="0" w:type="dxa"/>
            </w:tcMar>
            <w:vAlign w:val="center"/>
          </w:tcPr>
          <w:p w:rsidR="00E51332" w:rsidRDefault="00B767C7">
            <w:pPr>
              <w:widowControl/>
              <w:snapToGrid w:val="0"/>
              <w:spacing w:before="60" w:after="60" w:line="240" w:lineRule="auto"/>
              <w:ind w:firstLineChars="0" w:firstLine="0"/>
              <w:rPr>
                <w:rFonts w:ascii="仿宋_GB2312"/>
                <w:kern w:val="0"/>
                <w:sz w:val="28"/>
              </w:rPr>
            </w:pPr>
            <w:r>
              <w:rPr>
                <w:rFonts w:hint="eastAsia"/>
                <w:sz w:val="28"/>
                <w:szCs w:val="21"/>
              </w:rPr>
              <w:sym w:font="Wingdings" w:char="F0AB"/>
            </w:r>
            <w:r>
              <w:rPr>
                <w:rFonts w:ascii="仿宋_GB2312" w:hint="eastAsia"/>
                <w:kern w:val="0"/>
                <w:sz w:val="28"/>
              </w:rPr>
              <w:t>政府部门电子印章覆盖率（%）</w:t>
            </w:r>
          </w:p>
        </w:tc>
        <w:tc>
          <w:tcPr>
            <w:tcW w:w="1662" w:type="dxa"/>
            <w:vAlign w:val="center"/>
          </w:tcPr>
          <w:p w:rsidR="00E51332" w:rsidRDefault="00B767C7">
            <w:pPr>
              <w:widowControl/>
              <w:snapToGrid w:val="0"/>
              <w:spacing w:before="60" w:after="60" w:line="240" w:lineRule="auto"/>
              <w:ind w:firstLineChars="0" w:firstLine="0"/>
              <w:jc w:val="center"/>
              <w:rPr>
                <w:rFonts w:ascii="仿宋_GB2312"/>
                <w:kern w:val="0"/>
                <w:sz w:val="28"/>
              </w:rPr>
            </w:pPr>
            <w:r>
              <w:rPr>
                <w:rFonts w:ascii="仿宋_GB2312" w:hint="eastAsia"/>
                <w:kern w:val="0"/>
                <w:sz w:val="28"/>
              </w:rPr>
              <w:t>100</w:t>
            </w:r>
          </w:p>
        </w:tc>
      </w:tr>
      <w:tr w:rsidR="00E51332">
        <w:trPr>
          <w:trHeight w:val="397"/>
        </w:trPr>
        <w:tc>
          <w:tcPr>
            <w:tcW w:w="857" w:type="dxa"/>
            <w:shd w:val="clear" w:color="auto" w:fill="auto"/>
            <w:tcMar>
              <w:left w:w="0" w:type="dxa"/>
              <w:right w:w="0" w:type="dxa"/>
            </w:tcMar>
            <w:vAlign w:val="center"/>
          </w:tcPr>
          <w:p w:rsidR="00E51332" w:rsidRDefault="00E51332">
            <w:pPr>
              <w:pStyle w:val="ae"/>
              <w:widowControl/>
              <w:numPr>
                <w:ilvl w:val="0"/>
                <w:numId w:val="3"/>
              </w:numPr>
              <w:snapToGrid w:val="0"/>
              <w:spacing w:before="60" w:after="60" w:line="240" w:lineRule="auto"/>
              <w:ind w:left="0" w:firstLineChars="0" w:firstLine="0"/>
              <w:jc w:val="center"/>
              <w:rPr>
                <w:kern w:val="0"/>
                <w:sz w:val="28"/>
              </w:rPr>
            </w:pPr>
          </w:p>
        </w:tc>
        <w:tc>
          <w:tcPr>
            <w:tcW w:w="1583" w:type="dxa"/>
            <w:vMerge/>
            <w:tcMar>
              <w:left w:w="0" w:type="dxa"/>
              <w:right w:w="0" w:type="dxa"/>
            </w:tcMar>
            <w:vAlign w:val="center"/>
          </w:tcPr>
          <w:p w:rsidR="00E51332" w:rsidRDefault="00E51332">
            <w:pPr>
              <w:widowControl/>
              <w:snapToGrid w:val="0"/>
              <w:spacing w:before="60" w:after="60" w:line="240" w:lineRule="auto"/>
              <w:ind w:firstLineChars="0" w:firstLine="0"/>
              <w:jc w:val="center"/>
              <w:rPr>
                <w:rFonts w:ascii="仿宋_GB2312"/>
                <w:kern w:val="0"/>
                <w:sz w:val="28"/>
              </w:rPr>
            </w:pPr>
          </w:p>
        </w:tc>
        <w:tc>
          <w:tcPr>
            <w:tcW w:w="4317" w:type="dxa"/>
            <w:shd w:val="clear" w:color="auto" w:fill="auto"/>
            <w:tcMar>
              <w:left w:w="0" w:type="dxa"/>
              <w:right w:w="0" w:type="dxa"/>
            </w:tcMar>
            <w:vAlign w:val="center"/>
          </w:tcPr>
          <w:p w:rsidR="00E51332" w:rsidRDefault="00B767C7">
            <w:pPr>
              <w:widowControl/>
              <w:snapToGrid w:val="0"/>
              <w:spacing w:before="60" w:after="60" w:line="240" w:lineRule="auto"/>
              <w:ind w:firstLineChars="0" w:firstLine="0"/>
              <w:rPr>
                <w:rFonts w:ascii="仿宋_GB2312"/>
                <w:kern w:val="0"/>
                <w:sz w:val="28"/>
              </w:rPr>
            </w:pPr>
            <w:r>
              <w:rPr>
                <w:rFonts w:hint="eastAsia"/>
                <w:sz w:val="28"/>
                <w:szCs w:val="21"/>
              </w:rPr>
              <w:sym w:font="Wingdings" w:char="F0AB"/>
            </w:r>
            <w:r>
              <w:rPr>
                <w:rFonts w:ascii="仿宋_GB2312" w:hint="eastAsia"/>
                <w:kern w:val="0"/>
                <w:sz w:val="28"/>
              </w:rPr>
              <w:t>一体化政务服务平台</w:t>
            </w:r>
            <w:proofErr w:type="gramStart"/>
            <w:r>
              <w:rPr>
                <w:rFonts w:ascii="仿宋_GB2312" w:hint="eastAsia"/>
                <w:kern w:val="0"/>
                <w:sz w:val="28"/>
              </w:rPr>
              <w:t>可网办事</w:t>
            </w:r>
            <w:proofErr w:type="gramEnd"/>
            <w:r>
              <w:rPr>
                <w:rFonts w:ascii="仿宋_GB2312" w:hint="eastAsia"/>
                <w:kern w:val="0"/>
                <w:sz w:val="28"/>
              </w:rPr>
              <w:t>项单点登录率（%）</w:t>
            </w:r>
          </w:p>
        </w:tc>
        <w:tc>
          <w:tcPr>
            <w:tcW w:w="1662" w:type="dxa"/>
            <w:vAlign w:val="center"/>
          </w:tcPr>
          <w:p w:rsidR="00E51332" w:rsidRPr="002B59AE" w:rsidRDefault="00B767C7">
            <w:pPr>
              <w:widowControl/>
              <w:snapToGrid w:val="0"/>
              <w:spacing w:before="60" w:after="60" w:line="240" w:lineRule="auto"/>
              <w:ind w:firstLineChars="0" w:firstLine="0"/>
              <w:jc w:val="center"/>
              <w:rPr>
                <w:rFonts w:ascii="仿宋_GB2312"/>
                <w:kern w:val="0"/>
                <w:sz w:val="28"/>
              </w:rPr>
            </w:pPr>
            <w:r w:rsidRPr="002B59AE">
              <w:rPr>
                <w:rFonts w:ascii="仿宋_GB2312"/>
                <w:kern w:val="0"/>
                <w:sz w:val="28"/>
              </w:rPr>
              <w:t>100</w:t>
            </w:r>
          </w:p>
        </w:tc>
      </w:tr>
      <w:tr w:rsidR="00E51332">
        <w:trPr>
          <w:trHeight w:val="397"/>
        </w:trPr>
        <w:tc>
          <w:tcPr>
            <w:tcW w:w="857" w:type="dxa"/>
            <w:shd w:val="clear" w:color="auto" w:fill="auto"/>
            <w:tcMar>
              <w:left w:w="0" w:type="dxa"/>
              <w:right w:w="0" w:type="dxa"/>
            </w:tcMar>
            <w:vAlign w:val="center"/>
          </w:tcPr>
          <w:p w:rsidR="00E51332" w:rsidRDefault="00E51332">
            <w:pPr>
              <w:pStyle w:val="ae"/>
              <w:widowControl/>
              <w:numPr>
                <w:ilvl w:val="0"/>
                <w:numId w:val="3"/>
              </w:numPr>
              <w:snapToGrid w:val="0"/>
              <w:spacing w:before="60" w:after="60" w:line="240" w:lineRule="auto"/>
              <w:ind w:left="0" w:firstLineChars="0" w:firstLine="0"/>
              <w:jc w:val="center"/>
              <w:rPr>
                <w:kern w:val="0"/>
                <w:sz w:val="28"/>
              </w:rPr>
            </w:pPr>
          </w:p>
        </w:tc>
        <w:tc>
          <w:tcPr>
            <w:tcW w:w="1583" w:type="dxa"/>
            <w:vMerge/>
            <w:tcMar>
              <w:left w:w="0" w:type="dxa"/>
              <w:right w:w="0" w:type="dxa"/>
            </w:tcMar>
            <w:vAlign w:val="center"/>
          </w:tcPr>
          <w:p w:rsidR="00E51332" w:rsidRDefault="00E51332">
            <w:pPr>
              <w:widowControl/>
              <w:snapToGrid w:val="0"/>
              <w:spacing w:before="60" w:after="60" w:line="240" w:lineRule="auto"/>
              <w:ind w:firstLineChars="0" w:firstLine="0"/>
              <w:jc w:val="center"/>
              <w:rPr>
                <w:rFonts w:ascii="仿宋_GB2312"/>
                <w:kern w:val="0"/>
                <w:sz w:val="28"/>
              </w:rPr>
            </w:pPr>
          </w:p>
        </w:tc>
        <w:tc>
          <w:tcPr>
            <w:tcW w:w="4317" w:type="dxa"/>
            <w:shd w:val="clear" w:color="auto" w:fill="auto"/>
            <w:tcMar>
              <w:left w:w="0" w:type="dxa"/>
              <w:right w:w="0" w:type="dxa"/>
            </w:tcMar>
            <w:vAlign w:val="center"/>
          </w:tcPr>
          <w:p w:rsidR="00E51332" w:rsidRDefault="00B767C7">
            <w:pPr>
              <w:widowControl/>
              <w:snapToGrid w:val="0"/>
              <w:spacing w:before="60" w:after="60" w:line="240" w:lineRule="auto"/>
              <w:ind w:firstLineChars="0" w:firstLine="0"/>
              <w:rPr>
                <w:rFonts w:ascii="仿宋_GB2312"/>
                <w:kern w:val="0"/>
                <w:sz w:val="28"/>
                <w:highlight w:val="red"/>
              </w:rPr>
            </w:pPr>
            <w:r>
              <w:rPr>
                <w:rFonts w:hint="eastAsia"/>
                <w:sz w:val="28"/>
                <w:szCs w:val="21"/>
              </w:rPr>
              <w:sym w:font="Wingdings" w:char="F0AB"/>
            </w:r>
            <w:r>
              <w:rPr>
                <w:rFonts w:ascii="仿宋_GB2312" w:hint="eastAsia"/>
                <w:kern w:val="0"/>
                <w:sz w:val="28"/>
              </w:rPr>
              <w:t>党政机关核心系统国产化率（%）</w:t>
            </w:r>
          </w:p>
        </w:tc>
        <w:tc>
          <w:tcPr>
            <w:tcW w:w="1662" w:type="dxa"/>
            <w:vAlign w:val="center"/>
          </w:tcPr>
          <w:p w:rsidR="00E51332" w:rsidRDefault="00B767C7">
            <w:pPr>
              <w:widowControl/>
              <w:snapToGrid w:val="0"/>
              <w:spacing w:before="60" w:after="60" w:line="240" w:lineRule="auto"/>
              <w:ind w:firstLineChars="0" w:firstLine="0"/>
              <w:jc w:val="center"/>
              <w:rPr>
                <w:rFonts w:ascii="仿宋_GB2312"/>
                <w:kern w:val="0"/>
                <w:sz w:val="28"/>
              </w:rPr>
            </w:pPr>
            <w:r>
              <w:rPr>
                <w:rFonts w:ascii="仿宋_GB2312" w:hint="eastAsia"/>
                <w:kern w:val="0"/>
                <w:sz w:val="28"/>
              </w:rPr>
              <w:t>100</w:t>
            </w:r>
          </w:p>
        </w:tc>
      </w:tr>
      <w:tr w:rsidR="00E51332">
        <w:trPr>
          <w:trHeight w:val="397"/>
        </w:trPr>
        <w:tc>
          <w:tcPr>
            <w:tcW w:w="857" w:type="dxa"/>
            <w:shd w:val="clear" w:color="auto" w:fill="auto"/>
            <w:tcMar>
              <w:left w:w="0" w:type="dxa"/>
              <w:right w:w="0" w:type="dxa"/>
            </w:tcMar>
            <w:vAlign w:val="center"/>
          </w:tcPr>
          <w:p w:rsidR="00E51332" w:rsidRDefault="00E51332">
            <w:pPr>
              <w:pStyle w:val="ae"/>
              <w:widowControl/>
              <w:numPr>
                <w:ilvl w:val="0"/>
                <w:numId w:val="3"/>
              </w:numPr>
              <w:snapToGrid w:val="0"/>
              <w:spacing w:before="60" w:after="60" w:line="240" w:lineRule="auto"/>
              <w:ind w:left="0" w:firstLineChars="0" w:firstLine="0"/>
              <w:jc w:val="center"/>
              <w:rPr>
                <w:kern w:val="0"/>
                <w:sz w:val="28"/>
              </w:rPr>
            </w:pPr>
          </w:p>
        </w:tc>
        <w:tc>
          <w:tcPr>
            <w:tcW w:w="1583" w:type="dxa"/>
            <w:vMerge/>
            <w:tcMar>
              <w:left w:w="0" w:type="dxa"/>
              <w:right w:w="0" w:type="dxa"/>
            </w:tcMar>
            <w:vAlign w:val="center"/>
          </w:tcPr>
          <w:p w:rsidR="00E51332" w:rsidRDefault="00E51332">
            <w:pPr>
              <w:widowControl/>
              <w:snapToGrid w:val="0"/>
              <w:spacing w:before="60" w:after="60" w:line="240" w:lineRule="auto"/>
              <w:ind w:firstLineChars="0" w:firstLine="0"/>
              <w:jc w:val="center"/>
              <w:rPr>
                <w:rFonts w:ascii="仿宋_GB2312"/>
                <w:kern w:val="0"/>
                <w:sz w:val="28"/>
              </w:rPr>
            </w:pPr>
          </w:p>
        </w:tc>
        <w:tc>
          <w:tcPr>
            <w:tcW w:w="4317" w:type="dxa"/>
            <w:shd w:val="clear" w:color="auto" w:fill="auto"/>
            <w:tcMar>
              <w:left w:w="0" w:type="dxa"/>
              <w:right w:w="0" w:type="dxa"/>
            </w:tcMar>
            <w:vAlign w:val="center"/>
          </w:tcPr>
          <w:p w:rsidR="00E51332" w:rsidRDefault="00B767C7">
            <w:pPr>
              <w:widowControl/>
              <w:snapToGrid w:val="0"/>
              <w:spacing w:before="60" w:after="60" w:line="240" w:lineRule="auto"/>
              <w:ind w:firstLineChars="0" w:firstLine="0"/>
              <w:rPr>
                <w:rFonts w:ascii="仿宋_GB2312"/>
                <w:kern w:val="0"/>
                <w:sz w:val="28"/>
              </w:rPr>
            </w:pPr>
            <w:r>
              <w:rPr>
                <w:rFonts w:hint="eastAsia"/>
                <w:sz w:val="28"/>
                <w:szCs w:val="21"/>
              </w:rPr>
              <w:sym w:font="Wingdings" w:char="F0AB"/>
            </w:r>
            <w:r>
              <w:rPr>
                <w:rFonts w:ascii="仿宋_GB2312" w:hint="eastAsia"/>
                <w:kern w:val="0"/>
                <w:sz w:val="28"/>
              </w:rPr>
              <w:t>参与和主导制定数字政府相关国家、行业、地方标准数量（项）</w:t>
            </w:r>
          </w:p>
        </w:tc>
        <w:tc>
          <w:tcPr>
            <w:tcW w:w="1662" w:type="dxa"/>
            <w:vAlign w:val="center"/>
          </w:tcPr>
          <w:p w:rsidR="00E51332" w:rsidRDefault="00B767C7">
            <w:pPr>
              <w:widowControl/>
              <w:snapToGrid w:val="0"/>
              <w:spacing w:before="60" w:after="60" w:line="240" w:lineRule="auto"/>
              <w:ind w:firstLineChars="0" w:firstLine="0"/>
              <w:jc w:val="center"/>
              <w:rPr>
                <w:rFonts w:ascii="仿宋_GB2312"/>
                <w:kern w:val="0"/>
                <w:sz w:val="28"/>
              </w:rPr>
            </w:pPr>
            <w:r w:rsidRPr="002B59AE">
              <w:rPr>
                <w:rFonts w:ascii="仿宋_GB2312" w:hint="eastAsia"/>
                <w:kern w:val="0"/>
                <w:sz w:val="28"/>
              </w:rPr>
              <w:t>待定</w:t>
            </w:r>
          </w:p>
        </w:tc>
      </w:tr>
      <w:tr w:rsidR="00E51332">
        <w:trPr>
          <w:trHeight w:val="397"/>
        </w:trPr>
        <w:tc>
          <w:tcPr>
            <w:tcW w:w="857" w:type="dxa"/>
            <w:shd w:val="clear" w:color="auto" w:fill="auto"/>
            <w:tcMar>
              <w:left w:w="0" w:type="dxa"/>
              <w:right w:w="0" w:type="dxa"/>
            </w:tcMar>
            <w:vAlign w:val="center"/>
          </w:tcPr>
          <w:p w:rsidR="00E51332" w:rsidRDefault="00E51332">
            <w:pPr>
              <w:pStyle w:val="ae"/>
              <w:widowControl/>
              <w:numPr>
                <w:ilvl w:val="0"/>
                <w:numId w:val="3"/>
              </w:numPr>
              <w:snapToGrid w:val="0"/>
              <w:spacing w:before="60" w:after="60" w:line="240" w:lineRule="auto"/>
              <w:ind w:left="0" w:firstLineChars="0" w:firstLine="0"/>
              <w:jc w:val="center"/>
              <w:rPr>
                <w:kern w:val="0"/>
                <w:sz w:val="28"/>
              </w:rPr>
            </w:pPr>
          </w:p>
        </w:tc>
        <w:tc>
          <w:tcPr>
            <w:tcW w:w="1583" w:type="dxa"/>
            <w:vMerge w:val="restart"/>
            <w:tcMar>
              <w:left w:w="0" w:type="dxa"/>
              <w:right w:w="0" w:type="dxa"/>
            </w:tcMar>
            <w:vAlign w:val="center"/>
          </w:tcPr>
          <w:p w:rsidR="00E51332" w:rsidRDefault="00B767C7">
            <w:pPr>
              <w:widowControl/>
              <w:snapToGrid w:val="0"/>
              <w:spacing w:before="60" w:after="60" w:line="240" w:lineRule="auto"/>
              <w:ind w:firstLineChars="0" w:firstLine="0"/>
              <w:jc w:val="center"/>
              <w:rPr>
                <w:rFonts w:ascii="仿宋_GB2312"/>
                <w:kern w:val="0"/>
                <w:sz w:val="28"/>
              </w:rPr>
            </w:pPr>
            <w:r>
              <w:rPr>
                <w:rFonts w:ascii="仿宋_GB2312" w:hint="eastAsia"/>
                <w:kern w:val="0"/>
                <w:sz w:val="28"/>
              </w:rPr>
              <w:t>数字化</w:t>
            </w:r>
          </w:p>
          <w:p w:rsidR="00E51332" w:rsidRDefault="00B767C7">
            <w:pPr>
              <w:widowControl/>
              <w:snapToGrid w:val="0"/>
              <w:spacing w:before="60" w:after="60" w:line="240" w:lineRule="auto"/>
              <w:ind w:firstLineChars="0" w:firstLine="0"/>
              <w:jc w:val="center"/>
              <w:rPr>
                <w:rFonts w:ascii="仿宋_GB2312"/>
                <w:kern w:val="0"/>
                <w:sz w:val="28"/>
              </w:rPr>
            </w:pPr>
            <w:r>
              <w:rPr>
                <w:rFonts w:ascii="仿宋_GB2312" w:hint="eastAsia"/>
                <w:kern w:val="0"/>
                <w:sz w:val="28"/>
              </w:rPr>
              <w:t>赋能能力</w:t>
            </w:r>
          </w:p>
        </w:tc>
        <w:tc>
          <w:tcPr>
            <w:tcW w:w="4317" w:type="dxa"/>
            <w:shd w:val="clear" w:color="auto" w:fill="auto"/>
            <w:tcMar>
              <w:left w:w="0" w:type="dxa"/>
              <w:right w:w="0" w:type="dxa"/>
            </w:tcMar>
            <w:vAlign w:val="center"/>
          </w:tcPr>
          <w:p w:rsidR="00E51332" w:rsidRDefault="00B767C7">
            <w:pPr>
              <w:widowControl/>
              <w:snapToGrid w:val="0"/>
              <w:spacing w:before="60" w:after="60" w:line="240" w:lineRule="auto"/>
              <w:ind w:firstLineChars="0" w:firstLine="0"/>
              <w:rPr>
                <w:rFonts w:ascii="仿宋_GB2312"/>
                <w:kern w:val="0"/>
                <w:sz w:val="28"/>
              </w:rPr>
            </w:pPr>
            <w:r>
              <w:rPr>
                <w:rFonts w:ascii="仿宋_GB2312" w:hint="eastAsia"/>
                <w:kern w:val="0"/>
                <w:sz w:val="28"/>
              </w:rPr>
              <w:t>数字经济增加值</w:t>
            </w:r>
            <w:r>
              <w:rPr>
                <w:rFonts w:hint="eastAsia"/>
              </w:rPr>
              <w:t>（亿元）</w:t>
            </w:r>
          </w:p>
        </w:tc>
        <w:tc>
          <w:tcPr>
            <w:tcW w:w="1662" w:type="dxa"/>
            <w:vAlign w:val="center"/>
          </w:tcPr>
          <w:p w:rsidR="00E51332" w:rsidRDefault="00B767C7">
            <w:pPr>
              <w:widowControl/>
              <w:snapToGrid w:val="0"/>
              <w:spacing w:before="60" w:after="60" w:line="240" w:lineRule="auto"/>
              <w:ind w:firstLineChars="0" w:firstLine="0"/>
              <w:jc w:val="center"/>
              <w:rPr>
                <w:rFonts w:ascii="仿宋_GB2312"/>
                <w:kern w:val="0"/>
                <w:sz w:val="28"/>
              </w:rPr>
            </w:pPr>
            <w:r w:rsidRPr="002B59AE">
              <w:rPr>
                <w:rFonts w:ascii="仿宋_GB2312" w:hint="eastAsia"/>
                <w:kern w:val="0"/>
                <w:sz w:val="28"/>
              </w:rPr>
              <w:t>待定</w:t>
            </w:r>
          </w:p>
        </w:tc>
      </w:tr>
      <w:tr w:rsidR="00E51332">
        <w:trPr>
          <w:trHeight w:val="397"/>
        </w:trPr>
        <w:tc>
          <w:tcPr>
            <w:tcW w:w="857" w:type="dxa"/>
            <w:shd w:val="clear" w:color="auto" w:fill="auto"/>
            <w:tcMar>
              <w:left w:w="0" w:type="dxa"/>
              <w:right w:w="0" w:type="dxa"/>
            </w:tcMar>
            <w:vAlign w:val="center"/>
          </w:tcPr>
          <w:p w:rsidR="00E51332" w:rsidRDefault="00E51332">
            <w:pPr>
              <w:pStyle w:val="ae"/>
              <w:widowControl/>
              <w:numPr>
                <w:ilvl w:val="0"/>
                <w:numId w:val="3"/>
              </w:numPr>
              <w:snapToGrid w:val="0"/>
              <w:spacing w:before="60" w:after="60" w:line="240" w:lineRule="auto"/>
              <w:ind w:left="0" w:firstLineChars="0" w:firstLine="0"/>
              <w:jc w:val="center"/>
              <w:rPr>
                <w:kern w:val="0"/>
                <w:sz w:val="28"/>
              </w:rPr>
            </w:pPr>
          </w:p>
        </w:tc>
        <w:tc>
          <w:tcPr>
            <w:tcW w:w="1583" w:type="dxa"/>
            <w:vMerge/>
            <w:tcMar>
              <w:left w:w="0" w:type="dxa"/>
              <w:right w:w="0" w:type="dxa"/>
            </w:tcMar>
            <w:vAlign w:val="center"/>
          </w:tcPr>
          <w:p w:rsidR="00E51332" w:rsidRDefault="00E51332">
            <w:pPr>
              <w:widowControl/>
              <w:snapToGrid w:val="0"/>
              <w:spacing w:before="60" w:after="60" w:line="240" w:lineRule="auto"/>
              <w:ind w:firstLineChars="0" w:firstLine="0"/>
              <w:jc w:val="center"/>
              <w:rPr>
                <w:rFonts w:ascii="仿宋_GB2312"/>
                <w:kern w:val="0"/>
                <w:sz w:val="28"/>
              </w:rPr>
            </w:pPr>
          </w:p>
        </w:tc>
        <w:tc>
          <w:tcPr>
            <w:tcW w:w="4317" w:type="dxa"/>
            <w:shd w:val="clear" w:color="auto" w:fill="auto"/>
            <w:tcMar>
              <w:left w:w="0" w:type="dxa"/>
              <w:right w:w="0" w:type="dxa"/>
            </w:tcMar>
            <w:vAlign w:val="center"/>
          </w:tcPr>
          <w:p w:rsidR="00E51332" w:rsidRDefault="00B767C7">
            <w:pPr>
              <w:widowControl/>
              <w:snapToGrid w:val="0"/>
              <w:spacing w:before="60" w:after="60" w:line="240" w:lineRule="auto"/>
              <w:ind w:firstLineChars="0" w:firstLine="0"/>
              <w:rPr>
                <w:rFonts w:ascii="仿宋_GB2312"/>
                <w:kern w:val="0"/>
                <w:sz w:val="28"/>
              </w:rPr>
            </w:pPr>
            <w:r>
              <w:rPr>
                <w:rFonts w:ascii="仿宋_GB2312" w:hint="eastAsia"/>
                <w:kern w:val="0"/>
                <w:sz w:val="28"/>
              </w:rPr>
              <w:t>数字经济占G</w:t>
            </w:r>
            <w:r>
              <w:rPr>
                <w:rFonts w:ascii="仿宋_GB2312"/>
                <w:kern w:val="0"/>
                <w:sz w:val="28"/>
              </w:rPr>
              <w:t>DP</w:t>
            </w:r>
            <w:r>
              <w:rPr>
                <w:rFonts w:ascii="仿宋_GB2312" w:hint="eastAsia"/>
                <w:kern w:val="0"/>
                <w:sz w:val="28"/>
              </w:rPr>
              <w:t>比重（%）</w:t>
            </w:r>
          </w:p>
        </w:tc>
        <w:tc>
          <w:tcPr>
            <w:tcW w:w="1662" w:type="dxa"/>
            <w:vAlign w:val="center"/>
          </w:tcPr>
          <w:p w:rsidR="00E51332" w:rsidRDefault="00B767C7">
            <w:pPr>
              <w:widowControl/>
              <w:snapToGrid w:val="0"/>
              <w:spacing w:before="60" w:after="60" w:line="240" w:lineRule="auto"/>
              <w:ind w:firstLineChars="0" w:firstLine="0"/>
              <w:jc w:val="center"/>
              <w:rPr>
                <w:rFonts w:ascii="仿宋_GB2312"/>
                <w:kern w:val="0"/>
                <w:sz w:val="28"/>
              </w:rPr>
            </w:pPr>
            <w:r>
              <w:rPr>
                <w:rFonts w:ascii="仿宋_GB2312" w:hint="eastAsia"/>
                <w:kern w:val="0"/>
                <w:sz w:val="28"/>
              </w:rPr>
              <w:t>50</w:t>
            </w:r>
          </w:p>
        </w:tc>
      </w:tr>
      <w:tr w:rsidR="00E51332">
        <w:trPr>
          <w:trHeight w:val="397"/>
        </w:trPr>
        <w:tc>
          <w:tcPr>
            <w:tcW w:w="857" w:type="dxa"/>
            <w:shd w:val="clear" w:color="auto" w:fill="auto"/>
            <w:tcMar>
              <w:left w:w="0" w:type="dxa"/>
              <w:right w:w="0" w:type="dxa"/>
            </w:tcMar>
            <w:vAlign w:val="center"/>
          </w:tcPr>
          <w:p w:rsidR="00E51332" w:rsidRDefault="00E51332">
            <w:pPr>
              <w:pStyle w:val="ae"/>
              <w:widowControl/>
              <w:numPr>
                <w:ilvl w:val="0"/>
                <w:numId w:val="3"/>
              </w:numPr>
              <w:snapToGrid w:val="0"/>
              <w:spacing w:before="60" w:after="60" w:line="240" w:lineRule="auto"/>
              <w:ind w:left="0" w:firstLineChars="0" w:firstLine="0"/>
              <w:jc w:val="center"/>
              <w:rPr>
                <w:kern w:val="0"/>
                <w:sz w:val="28"/>
              </w:rPr>
            </w:pPr>
          </w:p>
        </w:tc>
        <w:tc>
          <w:tcPr>
            <w:tcW w:w="1583" w:type="dxa"/>
            <w:vMerge/>
            <w:tcMar>
              <w:left w:w="0" w:type="dxa"/>
              <w:right w:w="0" w:type="dxa"/>
            </w:tcMar>
            <w:vAlign w:val="center"/>
          </w:tcPr>
          <w:p w:rsidR="00E51332" w:rsidRDefault="00E51332">
            <w:pPr>
              <w:widowControl/>
              <w:snapToGrid w:val="0"/>
              <w:spacing w:before="60" w:after="60" w:line="240" w:lineRule="auto"/>
              <w:ind w:firstLineChars="0" w:firstLine="0"/>
              <w:jc w:val="center"/>
              <w:rPr>
                <w:rFonts w:ascii="仿宋_GB2312"/>
                <w:kern w:val="0"/>
                <w:sz w:val="28"/>
              </w:rPr>
            </w:pPr>
          </w:p>
        </w:tc>
        <w:tc>
          <w:tcPr>
            <w:tcW w:w="4317" w:type="dxa"/>
            <w:shd w:val="clear" w:color="auto" w:fill="auto"/>
            <w:tcMar>
              <w:left w:w="0" w:type="dxa"/>
              <w:right w:w="0" w:type="dxa"/>
            </w:tcMar>
            <w:vAlign w:val="center"/>
          </w:tcPr>
          <w:p w:rsidR="00E51332" w:rsidRDefault="00B767C7">
            <w:pPr>
              <w:widowControl/>
              <w:snapToGrid w:val="0"/>
              <w:spacing w:before="60" w:after="60" w:line="240" w:lineRule="auto"/>
              <w:ind w:firstLineChars="0" w:firstLine="0"/>
              <w:rPr>
                <w:rFonts w:ascii="仿宋_GB2312"/>
                <w:kern w:val="0"/>
                <w:sz w:val="28"/>
              </w:rPr>
            </w:pPr>
            <w:r>
              <w:rPr>
                <w:rFonts w:ascii="仿宋_GB2312" w:hint="eastAsia"/>
                <w:kern w:val="0"/>
                <w:sz w:val="28"/>
              </w:rPr>
              <w:t>数字乡村（社区）数量（</w:t>
            </w:r>
            <w:proofErr w:type="gramStart"/>
            <w:r>
              <w:rPr>
                <w:rFonts w:ascii="仿宋_GB2312" w:hint="eastAsia"/>
                <w:kern w:val="0"/>
                <w:sz w:val="28"/>
              </w:rPr>
              <w:t>个</w:t>
            </w:r>
            <w:proofErr w:type="gramEnd"/>
            <w:r>
              <w:rPr>
                <w:rFonts w:ascii="仿宋_GB2312" w:hint="eastAsia"/>
                <w:kern w:val="0"/>
                <w:sz w:val="28"/>
              </w:rPr>
              <w:t>）</w:t>
            </w:r>
          </w:p>
        </w:tc>
        <w:tc>
          <w:tcPr>
            <w:tcW w:w="1662" w:type="dxa"/>
            <w:vAlign w:val="center"/>
          </w:tcPr>
          <w:p w:rsidR="00E51332" w:rsidRDefault="00B767C7">
            <w:pPr>
              <w:widowControl/>
              <w:snapToGrid w:val="0"/>
              <w:spacing w:before="60" w:after="60" w:line="240" w:lineRule="auto"/>
              <w:ind w:firstLineChars="0" w:firstLine="0"/>
              <w:jc w:val="center"/>
              <w:rPr>
                <w:rFonts w:ascii="仿宋_GB2312"/>
                <w:kern w:val="0"/>
                <w:sz w:val="28"/>
              </w:rPr>
            </w:pPr>
            <w:r w:rsidRPr="002B59AE">
              <w:rPr>
                <w:rFonts w:ascii="仿宋_GB2312" w:hint="eastAsia"/>
                <w:kern w:val="0"/>
                <w:sz w:val="28"/>
              </w:rPr>
              <w:t>待定</w:t>
            </w:r>
          </w:p>
        </w:tc>
      </w:tr>
    </w:tbl>
    <w:p w:rsidR="00E51332" w:rsidRDefault="00B767C7">
      <w:pPr>
        <w:snapToGrid w:val="0"/>
        <w:spacing w:beforeLines="50" w:before="156" w:line="360" w:lineRule="auto"/>
        <w:ind w:firstLine="560"/>
        <w:rPr>
          <w:sz w:val="28"/>
          <w:szCs w:val="21"/>
        </w:rPr>
      </w:pPr>
      <w:r>
        <w:rPr>
          <w:rFonts w:hint="eastAsia"/>
          <w:sz w:val="28"/>
          <w:szCs w:val="21"/>
        </w:rPr>
        <w:t>注：本规划列举的是数字政府主要公共指标，行业指标分别在各行业相关专项规划中明确，指标计算方法见附件。</w:t>
      </w:r>
      <w:r>
        <w:rPr>
          <w:rFonts w:hint="eastAsia"/>
          <w:sz w:val="28"/>
          <w:szCs w:val="21"/>
        </w:rPr>
        <w:sym w:font="Wingdings" w:char="F0AB"/>
      </w:r>
      <w:r>
        <w:rPr>
          <w:rFonts w:hint="eastAsia"/>
          <w:sz w:val="28"/>
          <w:szCs w:val="21"/>
        </w:rPr>
        <w:t>为</w:t>
      </w:r>
      <w:proofErr w:type="gramStart"/>
      <w:r>
        <w:rPr>
          <w:rFonts w:hint="eastAsia"/>
          <w:sz w:val="28"/>
          <w:szCs w:val="21"/>
        </w:rPr>
        <w:t>省数字</w:t>
      </w:r>
      <w:proofErr w:type="gramEnd"/>
      <w:r>
        <w:rPr>
          <w:rFonts w:hint="eastAsia"/>
          <w:sz w:val="28"/>
          <w:szCs w:val="21"/>
        </w:rPr>
        <w:t>政府规划指标。</w:t>
      </w:r>
    </w:p>
    <w:p w:rsidR="00E51332" w:rsidRDefault="00B767C7">
      <w:pPr>
        <w:pStyle w:val="2"/>
        <w:spacing w:before="156" w:after="156"/>
        <w:ind w:firstLine="640"/>
      </w:pPr>
      <w:bookmarkStart w:id="24" w:name="_Toc64903385"/>
      <w:bookmarkStart w:id="25" w:name="_Toc66093947"/>
      <w:r>
        <w:rPr>
          <w:rFonts w:hint="eastAsia"/>
        </w:rPr>
        <w:lastRenderedPageBreak/>
        <w:t>实施策略。</w:t>
      </w:r>
      <w:bookmarkEnd w:id="24"/>
      <w:bookmarkEnd w:id="25"/>
    </w:p>
    <w:p w:rsidR="00E51332" w:rsidRDefault="00B767C7">
      <w:pPr>
        <w:ind w:firstLine="640"/>
      </w:pPr>
      <w:r>
        <w:rPr>
          <w:rFonts w:hint="eastAsia"/>
        </w:rPr>
        <w:t>按照“全面规划、分步实施、快速迭代、持续进步”的总体要求，遵循“一年谋突破、三年见成效、五年大提升”的路径，逐年推进数字政府建设任务。其中：</w:t>
      </w:r>
    </w:p>
    <w:p w:rsidR="00E51332" w:rsidRDefault="00B767C7">
      <w:pPr>
        <w:ind w:firstLine="640"/>
      </w:pPr>
      <w:r>
        <w:rPr>
          <w:rFonts w:hint="eastAsia"/>
        </w:rPr>
        <w:t>2021</w:t>
      </w:r>
      <w:r>
        <w:rPr>
          <w:rFonts w:hint="eastAsia"/>
        </w:rPr>
        <w:t>年，重在筑牢改革基础，务求在制度规范取得根本性成果，在业务应用创新、技术体系建设取得突破性成果。</w:t>
      </w:r>
      <w:r>
        <w:rPr>
          <w:rFonts w:hint="eastAsia"/>
          <w:b/>
          <w:bCs/>
        </w:rPr>
        <w:t>业务应用创新上，</w:t>
      </w:r>
      <w:r>
        <w:rPr>
          <w:rFonts w:hint="eastAsia"/>
        </w:rPr>
        <w:t>统筹智慧城市建设任务，推出一批重点、有特色的业务应用。</w:t>
      </w:r>
      <w:r>
        <w:rPr>
          <w:rFonts w:hint="eastAsia"/>
          <w:b/>
          <w:bCs/>
        </w:rPr>
        <w:t>数据资源利用上，</w:t>
      </w:r>
      <w:r>
        <w:rPr>
          <w:rFonts w:hint="eastAsia"/>
        </w:rPr>
        <w:t>推进部门信息系统整合和数据汇聚，智慧大脑、</w:t>
      </w:r>
      <w:proofErr w:type="gramStart"/>
      <w:r>
        <w:rPr>
          <w:rFonts w:hint="eastAsia"/>
        </w:rPr>
        <w:t>数据湖初步</w:t>
      </w:r>
      <w:proofErr w:type="gramEnd"/>
      <w:r>
        <w:rPr>
          <w:rFonts w:hint="eastAsia"/>
        </w:rPr>
        <w:t>成型，以数据要素市场化配置改革为突破口，提出健全公共数据资源开发利用制度，稳步推进公共数据开放和开发利用。</w:t>
      </w:r>
      <w:r>
        <w:rPr>
          <w:rFonts w:hint="eastAsia"/>
          <w:b/>
          <w:bCs/>
        </w:rPr>
        <w:t>技术体系建设上，</w:t>
      </w:r>
      <w:r>
        <w:rPr>
          <w:rFonts w:hint="eastAsia"/>
        </w:rPr>
        <w:t>完成市统一电子政务云平台和电子</w:t>
      </w:r>
      <w:proofErr w:type="gramStart"/>
      <w:r>
        <w:rPr>
          <w:rFonts w:hint="eastAsia"/>
        </w:rPr>
        <w:t>政务网</w:t>
      </w:r>
      <w:proofErr w:type="gramEnd"/>
      <w:r>
        <w:rPr>
          <w:rFonts w:hint="eastAsia"/>
        </w:rPr>
        <w:t>扩容建设，组织开展各地各部门业务应用系统与省统筹建设的公共支撑平台的对接。</w:t>
      </w:r>
      <w:r>
        <w:rPr>
          <w:rFonts w:hint="eastAsia"/>
          <w:b/>
          <w:bCs/>
        </w:rPr>
        <w:t>体制机制建设上，</w:t>
      </w:r>
      <w:r>
        <w:rPr>
          <w:rFonts w:hint="eastAsia"/>
        </w:rPr>
        <w:t>完成信息化项目管理、数据共享管理、政务信息化重大项目方案跨部门、跨地区沟通协商机制等亟需的制度规范建设，夯实数字政府改革建设的基础。明确数字政府运营管理制度，落实运营、运维服务责任和工作。</w:t>
      </w:r>
    </w:p>
    <w:p w:rsidR="00E51332" w:rsidRDefault="00B767C7">
      <w:pPr>
        <w:ind w:firstLine="640"/>
      </w:pPr>
      <w:r>
        <w:rPr>
          <w:rFonts w:hint="eastAsia"/>
        </w:rPr>
        <w:t>2022</w:t>
      </w:r>
      <w:r>
        <w:rPr>
          <w:rFonts w:hint="eastAsia"/>
        </w:rPr>
        <w:t>—</w:t>
      </w:r>
      <w:r>
        <w:rPr>
          <w:rFonts w:hint="eastAsia"/>
        </w:rPr>
        <w:t>2023</w:t>
      </w:r>
      <w:r>
        <w:rPr>
          <w:rFonts w:hint="eastAsia"/>
        </w:rPr>
        <w:t>年，重在示范与应用突破，实现基础设施、技术平台、数据资源的一体集约化应用，在政务服务、营商环境、环境保护、公共服务、社会治理、政府运行等开展重点示范应用，形成示范效应。</w:t>
      </w:r>
      <w:r>
        <w:rPr>
          <w:rFonts w:hint="eastAsia"/>
          <w:b/>
          <w:bCs/>
        </w:rPr>
        <w:t>业务应用创新上，</w:t>
      </w:r>
      <w:r>
        <w:rPr>
          <w:rFonts w:hint="eastAsia"/>
        </w:rPr>
        <w:t>总结政务服</w:t>
      </w:r>
      <w:r>
        <w:rPr>
          <w:rFonts w:hint="eastAsia"/>
        </w:rPr>
        <w:lastRenderedPageBreak/>
        <w:t>务应用、营商环境应用的建设经验，迭代创新。在完善公共支撑能力基础上，全力支持环境保护、公共服务、社会治理等专业应用建设，选取重点有序开展，做出示范。</w:t>
      </w:r>
      <w:r>
        <w:rPr>
          <w:rFonts w:hint="eastAsia"/>
          <w:b/>
          <w:bCs/>
        </w:rPr>
        <w:t>数据资源利用上，</w:t>
      </w:r>
      <w:r>
        <w:rPr>
          <w:rFonts w:hint="eastAsia"/>
        </w:rPr>
        <w:t>全市统一</w:t>
      </w:r>
      <w:proofErr w:type="gramStart"/>
      <w:r>
        <w:rPr>
          <w:rFonts w:hint="eastAsia"/>
        </w:rPr>
        <w:t>数据湖</w:t>
      </w:r>
      <w:proofErr w:type="gramEnd"/>
      <w:r>
        <w:rPr>
          <w:rFonts w:hint="eastAsia"/>
        </w:rPr>
        <w:t>建成，数据治理专项工作取得成果，数据质量大幅提升，全市数据共享氛围形成，实施交通、全域旅游、生态环境等一批大数据示范应用。</w:t>
      </w:r>
      <w:r>
        <w:rPr>
          <w:rFonts w:hint="eastAsia"/>
          <w:b/>
          <w:bCs/>
        </w:rPr>
        <w:t>技术体系建设上，</w:t>
      </w:r>
      <w:r>
        <w:rPr>
          <w:rFonts w:hint="eastAsia"/>
        </w:rPr>
        <w:t>实现全市各部门</w:t>
      </w:r>
      <w:r>
        <w:rPr>
          <w:rFonts w:hint="eastAsia"/>
        </w:rPr>
        <w:t>80%</w:t>
      </w:r>
      <w:r>
        <w:rPr>
          <w:rFonts w:hint="eastAsia"/>
        </w:rPr>
        <w:t>业务系统迁移上云。完成市级以下电子政务外网与各专网</w:t>
      </w:r>
      <w:r>
        <w:rPr>
          <w:rFonts w:hint="eastAsia"/>
        </w:rPr>
        <w:t>100%</w:t>
      </w:r>
      <w:r>
        <w:rPr>
          <w:rFonts w:hint="eastAsia"/>
        </w:rPr>
        <w:t>联通，建立完备的政务网络信息安全体系。</w:t>
      </w:r>
      <w:r>
        <w:rPr>
          <w:rFonts w:hint="eastAsia"/>
          <w:b/>
          <w:bCs/>
        </w:rPr>
        <w:t>体制机制建设上，</w:t>
      </w:r>
      <w:r>
        <w:rPr>
          <w:rFonts w:hint="eastAsia"/>
        </w:rPr>
        <w:t>基本完成数字政府配套制度建设，持续推进标准规范建设和实施工作，推动标准规范全面贯彻落实，有序推动各地各部门数字化转型，实现政务服务、一网统管、行政协同等领域数字化能力全面提升，并有效促进智慧城市建设、数字经济发展。</w:t>
      </w:r>
    </w:p>
    <w:p w:rsidR="00E51332" w:rsidRDefault="00B767C7">
      <w:pPr>
        <w:ind w:firstLine="640"/>
      </w:pPr>
      <w:r>
        <w:rPr>
          <w:rFonts w:hint="eastAsia"/>
        </w:rPr>
        <w:t>2024</w:t>
      </w:r>
      <w:r>
        <w:rPr>
          <w:rFonts w:hint="eastAsia"/>
        </w:rPr>
        <w:t>—</w:t>
      </w:r>
      <w:r>
        <w:rPr>
          <w:rFonts w:hint="eastAsia"/>
        </w:rPr>
        <w:t>2025</w:t>
      </w:r>
      <w:r>
        <w:rPr>
          <w:rFonts w:hint="eastAsia"/>
        </w:rPr>
        <w:t>年，数字技术与政府履职全面深度融合，整体性、一体化的政府数字化业务应用体系基本建成，共建共享、集约利用的技术体系基本建成，公共数据依法依规实现按需共享、有序开放，政府数字化</w:t>
      </w:r>
      <w:proofErr w:type="gramStart"/>
      <w:r>
        <w:rPr>
          <w:rFonts w:hint="eastAsia"/>
        </w:rPr>
        <w:t>履</w:t>
      </w:r>
      <w:proofErr w:type="gramEnd"/>
      <w:r>
        <w:rPr>
          <w:rFonts w:hint="eastAsia"/>
        </w:rPr>
        <w:t>职能力大幅提升，数字政府有力引领数字经济、数字社会、数字生态发展，完成本规划确定的目标任务。</w:t>
      </w:r>
      <w:r>
        <w:rPr>
          <w:rFonts w:hint="eastAsia"/>
          <w:b/>
          <w:bCs/>
        </w:rPr>
        <w:t>业务应用创新上</w:t>
      </w:r>
      <w:r>
        <w:rPr>
          <w:rFonts w:hint="eastAsia"/>
        </w:rPr>
        <w:t>，政务应用在全市各地各部门全面推行、深度应用。各级政府部门业务系统，服务资源充分整合，政务办公系统实现全市覆盖。政务服务工作稳居全省领先行列，营商环境提档增速，进入全国前列。</w:t>
      </w:r>
      <w:r>
        <w:rPr>
          <w:rFonts w:hint="eastAsia"/>
          <w:b/>
          <w:bCs/>
        </w:rPr>
        <w:t>数据资源利用上，</w:t>
      </w:r>
      <w:r>
        <w:rPr>
          <w:rFonts w:hint="eastAsia"/>
        </w:rPr>
        <w:t>基本实现数据资源全面汇聚共享和有序开</w:t>
      </w:r>
      <w:r>
        <w:rPr>
          <w:rFonts w:hint="eastAsia"/>
        </w:rPr>
        <w:lastRenderedPageBreak/>
        <w:t>放，大数据示范应用成效良好，大数据在提升政府治理能力、加强城市管理、提高民生服务水平、促进高质量发展方面作用明显。</w:t>
      </w:r>
      <w:r>
        <w:rPr>
          <w:rFonts w:hint="eastAsia"/>
          <w:b/>
          <w:bCs/>
        </w:rPr>
        <w:t>技术体系建设上，</w:t>
      </w:r>
      <w:r>
        <w:rPr>
          <w:rFonts w:hint="eastAsia"/>
        </w:rPr>
        <w:t>全面实现全市政务应用“一云管理”，全市政务外网互联互通率</w:t>
      </w:r>
      <w:r>
        <w:t>100%</w:t>
      </w:r>
      <w:r>
        <w:rPr>
          <w:rFonts w:hint="eastAsia"/>
        </w:rPr>
        <w:t>，为数字政府建设提供统一、安全、稳定、高效、按需使用的基础设施资源。</w:t>
      </w:r>
      <w:r>
        <w:rPr>
          <w:rFonts w:hint="eastAsia"/>
          <w:b/>
          <w:bCs/>
        </w:rPr>
        <w:t>体制机制建设上，</w:t>
      </w:r>
      <w:r>
        <w:rPr>
          <w:rFonts w:hint="eastAsia"/>
        </w:rPr>
        <w:t>构建完备的数字政府相关制度。完成数字政府相关标准规范的供给和贯彻。持续优化运营管理模式和机制，为全市数字政府改革建设持续发展提供长效保障。</w:t>
      </w:r>
    </w:p>
    <w:p w:rsidR="00E51332" w:rsidRDefault="00B767C7">
      <w:pPr>
        <w:pStyle w:val="2"/>
        <w:spacing w:before="156" w:after="156"/>
        <w:ind w:firstLine="640"/>
      </w:pPr>
      <w:bookmarkStart w:id="26" w:name="_Toc66093948"/>
      <w:bookmarkStart w:id="27" w:name="_Toc64903386"/>
      <w:r>
        <w:rPr>
          <w:rFonts w:hint="eastAsia"/>
        </w:rPr>
        <w:t>关系定位。</w:t>
      </w:r>
      <w:bookmarkEnd w:id="26"/>
      <w:bookmarkEnd w:id="27"/>
    </w:p>
    <w:p w:rsidR="00E51332" w:rsidRDefault="00B767C7">
      <w:pPr>
        <w:pStyle w:val="3"/>
        <w:numPr>
          <w:ilvl w:val="0"/>
          <w:numId w:val="4"/>
        </w:numPr>
        <w:ind w:left="0" w:firstLineChars="200" w:firstLine="643"/>
      </w:pPr>
      <w:bookmarkStart w:id="28" w:name="_Toc40788370"/>
      <w:bookmarkStart w:id="29" w:name="_Toc29329177"/>
      <w:bookmarkStart w:id="30" w:name="_Toc40179869"/>
      <w:bookmarkStart w:id="31" w:name="_Toc29457124"/>
      <w:bookmarkStart w:id="32" w:name="_Toc45034893"/>
      <w:bookmarkStart w:id="33" w:name="_Toc28333846"/>
      <w:bookmarkStart w:id="34" w:name="_Toc28363264"/>
      <w:r>
        <w:rPr>
          <w:rFonts w:hint="eastAsia"/>
        </w:rPr>
        <w:t>与</w:t>
      </w:r>
      <w:proofErr w:type="gramStart"/>
      <w:r>
        <w:rPr>
          <w:rFonts w:hint="eastAsia"/>
        </w:rPr>
        <w:t>省数字</w:t>
      </w:r>
      <w:proofErr w:type="gramEnd"/>
      <w:r>
        <w:rPr>
          <w:rFonts w:hint="eastAsia"/>
        </w:rPr>
        <w:t>政府的关系</w:t>
      </w:r>
      <w:bookmarkEnd w:id="28"/>
      <w:bookmarkEnd w:id="29"/>
      <w:bookmarkEnd w:id="30"/>
      <w:bookmarkEnd w:id="31"/>
      <w:bookmarkEnd w:id="32"/>
      <w:bookmarkEnd w:id="33"/>
      <w:bookmarkEnd w:id="34"/>
      <w:r>
        <w:rPr>
          <w:rFonts w:hint="eastAsia"/>
        </w:rPr>
        <w:t>。</w:t>
      </w:r>
    </w:p>
    <w:p w:rsidR="00E51332" w:rsidRDefault="00B767C7">
      <w:pPr>
        <w:pStyle w:val="af"/>
        <w:ind w:firstLine="643"/>
      </w:pPr>
      <w:r>
        <w:rPr>
          <w:rFonts w:cs="Times New Roman" w:hint="eastAsia"/>
          <w:b/>
          <w:bCs/>
        </w:rPr>
        <w:t>——管理方面。</w:t>
      </w:r>
      <w:bookmarkStart w:id="35" w:name="_Hlk40725885"/>
      <w:r w:rsidRPr="002B59AE">
        <w:rPr>
          <w:rFonts w:cs="Times New Roman" w:hint="eastAsia"/>
        </w:rPr>
        <w:t>在</w:t>
      </w:r>
      <w:proofErr w:type="gramStart"/>
      <w:r>
        <w:rPr>
          <w:rFonts w:cs="Times New Roman" w:hint="eastAsia"/>
        </w:rPr>
        <w:t>省数字</w:t>
      </w:r>
      <w:proofErr w:type="gramEnd"/>
      <w:r>
        <w:rPr>
          <w:rFonts w:cs="Times New Roman" w:hint="eastAsia"/>
        </w:rPr>
        <w:t>政府改革建设工作领导小组统筹领导、省政务服务数据管理局指导下，</w:t>
      </w:r>
      <w:proofErr w:type="gramStart"/>
      <w:r>
        <w:rPr>
          <w:rFonts w:cs="Times New Roman" w:hint="eastAsia"/>
        </w:rPr>
        <w:t>市数字</w:t>
      </w:r>
      <w:proofErr w:type="gramEnd"/>
      <w:r>
        <w:rPr>
          <w:rFonts w:cs="Times New Roman" w:hint="eastAsia"/>
        </w:rPr>
        <w:t>政府改革领导小组按照</w:t>
      </w:r>
      <w:proofErr w:type="gramStart"/>
      <w:r>
        <w:rPr>
          <w:rFonts w:cs="Times New Roman" w:hint="eastAsia"/>
        </w:rPr>
        <w:t>省数字</w:t>
      </w:r>
      <w:proofErr w:type="gramEnd"/>
      <w:r>
        <w:rPr>
          <w:rFonts w:cs="Times New Roman" w:hint="eastAsia"/>
        </w:rPr>
        <w:t>政府总体框架和要求，统筹推进全市数字政府改革建设工作，</w:t>
      </w:r>
      <w:r>
        <w:rPr>
          <w:rFonts w:cs="Times New Roman"/>
        </w:rPr>
        <w:t>推进</w:t>
      </w:r>
      <w:r>
        <w:rPr>
          <w:rFonts w:cs="Times New Roman" w:hint="eastAsia"/>
        </w:rPr>
        <w:t>全市</w:t>
      </w:r>
      <w:r>
        <w:rPr>
          <w:rFonts w:cs="Times New Roman"/>
        </w:rPr>
        <w:t>数字政府领导机制建设，推进信息技术机构整合改革，明确全市数字政府建设框架与任务。</w:t>
      </w:r>
      <w:r>
        <w:rPr>
          <w:rFonts w:cs="Times New Roman" w:hint="eastAsia"/>
        </w:rPr>
        <w:t>省、市政务服务数据管理局分别发挥不同层级数字政府统筹管理职责，</w:t>
      </w:r>
      <w:r>
        <w:rPr>
          <w:rFonts w:cs="Times New Roman"/>
        </w:rPr>
        <w:t>构建统一架构、</w:t>
      </w:r>
      <w:r>
        <w:rPr>
          <w:rFonts w:cs="Times New Roman" w:hint="eastAsia"/>
        </w:rPr>
        <w:t>省市联动的</w:t>
      </w:r>
      <w:r>
        <w:rPr>
          <w:rFonts w:cs="Times New Roman"/>
        </w:rPr>
        <w:t>数字政府建设</w:t>
      </w:r>
      <w:r>
        <w:rPr>
          <w:rFonts w:cs="Times New Roman" w:hint="eastAsia"/>
        </w:rPr>
        <w:t>方式</w:t>
      </w:r>
      <w:r>
        <w:rPr>
          <w:rFonts w:cs="Times New Roman"/>
        </w:rPr>
        <w:t>，推动数字政府各项改革建设任务落实。</w:t>
      </w:r>
      <w:bookmarkEnd w:id="35"/>
    </w:p>
    <w:p w:rsidR="00E51332" w:rsidRDefault="00B767C7">
      <w:pPr>
        <w:pStyle w:val="af"/>
        <w:ind w:firstLine="643"/>
      </w:pPr>
      <w:r>
        <w:rPr>
          <w:rFonts w:cs="Times New Roman" w:hint="eastAsia"/>
          <w:b/>
          <w:bCs/>
        </w:rPr>
        <w:t>——业务方面。</w:t>
      </w:r>
      <w:r>
        <w:rPr>
          <w:rFonts w:cs="Times New Roman" w:hint="eastAsia"/>
        </w:rPr>
        <w:t>省政务服务数据管理局负责对省级政务信息化项目建设实施集约化管理，统筹协调省级部门业务信息化建设，指导各地区各部门政务应用和建设。统筹推进全省政务服务体系建设，指导各地区政务服务机构及其管理机</w:t>
      </w:r>
      <w:r>
        <w:rPr>
          <w:rFonts w:cs="Times New Roman" w:hint="eastAsia"/>
        </w:rPr>
        <w:lastRenderedPageBreak/>
        <w:t>构开展工作。市政务服务数据管理局接受省政务服务数据管理局指导，负责对市级政务信息化项目建设实施集约化管理，负责市财政资金建设的政务信息系统项目立项审批，统筹全市政务信息化建设管理工作。</w:t>
      </w:r>
      <w:r>
        <w:rPr>
          <w:rFonts w:hint="eastAsia"/>
        </w:rPr>
        <w:t>负责全市政府职能转变、行政审批制度改革、权责清单、审批服务便民化等“放管服”改革相关工作。统筹推进全市政务服务体系建设，指导协调政务服务事项进驻网上和实体平台，指导各地政务服务机构及其管理机构开展工作。</w:t>
      </w:r>
    </w:p>
    <w:p w:rsidR="00E51332" w:rsidRDefault="00B767C7">
      <w:pPr>
        <w:pStyle w:val="af"/>
        <w:ind w:firstLine="643"/>
      </w:pPr>
      <w:r>
        <w:rPr>
          <w:rFonts w:cs="Times New Roman" w:hint="eastAsia"/>
          <w:b/>
          <w:bCs/>
        </w:rPr>
        <w:t>——技术方面。</w:t>
      </w:r>
      <w:r>
        <w:rPr>
          <w:rFonts w:cs="Times New Roman" w:hint="eastAsia"/>
        </w:rPr>
        <w:t>一是公共应用系统，</w:t>
      </w:r>
      <w:r>
        <w:t>充分</w:t>
      </w:r>
      <w:r>
        <w:rPr>
          <w:rFonts w:hint="eastAsia"/>
        </w:rPr>
        <w:t>对接使用</w:t>
      </w:r>
      <w:r>
        <w:t>省</w:t>
      </w:r>
      <w:r>
        <w:rPr>
          <w:rFonts w:hint="eastAsia"/>
        </w:rPr>
        <w:t>统筹建设</w:t>
      </w:r>
      <w:r>
        <w:t>的广东政务服务网、“粤省事”“粤商通”“</w:t>
      </w:r>
      <w:r>
        <w:rPr>
          <w:rFonts w:hint="eastAsia"/>
        </w:rPr>
        <w:t>粤政易</w:t>
      </w:r>
      <w:r>
        <w:t>”等</w:t>
      </w:r>
      <w:r>
        <w:rPr>
          <w:rFonts w:hint="eastAsia"/>
        </w:rPr>
        <w:t>，在全市推广应用</w:t>
      </w:r>
      <w:r>
        <w:t>。</w:t>
      </w:r>
      <w:r>
        <w:rPr>
          <w:rFonts w:hint="eastAsia"/>
        </w:rPr>
        <w:t>二是</w:t>
      </w:r>
      <w:r>
        <w:rPr>
          <w:rFonts w:cs="Times New Roman"/>
        </w:rPr>
        <w:t>公共应用支撑</w:t>
      </w:r>
      <w:r>
        <w:rPr>
          <w:rFonts w:cs="Times New Roman" w:hint="eastAsia"/>
        </w:rPr>
        <w:t>系统，</w:t>
      </w:r>
      <w:r>
        <w:t>充分</w:t>
      </w:r>
      <w:r>
        <w:rPr>
          <w:rFonts w:hint="eastAsia"/>
        </w:rPr>
        <w:t>对接使用</w:t>
      </w:r>
      <w:r>
        <w:t>省统建的公共应用支撑平台，如统一身份认证、地理信息服务、电子印章服务、电子证照、移动应用支撑等服务</w:t>
      </w:r>
      <w:r>
        <w:rPr>
          <w:rFonts w:hint="eastAsia"/>
        </w:rPr>
        <w:t>，支撑全市各类业务应用。</w:t>
      </w:r>
      <w:r>
        <w:rPr>
          <w:rFonts w:cs="Times New Roman" w:hint="eastAsia"/>
        </w:rPr>
        <w:t>三是大</w:t>
      </w:r>
      <w:r>
        <w:rPr>
          <w:rFonts w:cs="Times New Roman"/>
        </w:rPr>
        <w:t>数据</w:t>
      </w:r>
      <w:r>
        <w:rPr>
          <w:rFonts w:cs="Times New Roman" w:hint="eastAsia"/>
        </w:rPr>
        <w:t>平台，</w:t>
      </w:r>
      <w:r>
        <w:rPr>
          <w:rFonts w:hint="eastAsia"/>
        </w:rPr>
        <w:t>按照省政务数据治理相关标准规范和要求，建设政务大数据中心江门节点，级联对接</w:t>
      </w:r>
      <w:r>
        <w:t>政务大数据中心省级节点</w:t>
      </w:r>
      <w:r>
        <w:rPr>
          <w:rFonts w:hint="eastAsia"/>
        </w:rPr>
        <w:t>。通过数据共享交换平台向</w:t>
      </w:r>
      <w:r>
        <w:t>政务大数据中心</w:t>
      </w:r>
      <w:r>
        <w:rPr>
          <w:rFonts w:hint="eastAsia"/>
        </w:rPr>
        <w:t>省级</w:t>
      </w:r>
      <w:r>
        <w:t>节点</w:t>
      </w:r>
      <w:r>
        <w:rPr>
          <w:rFonts w:hint="eastAsia"/>
        </w:rPr>
        <w:t>汇聚各类业务数据资源，并基于政务大数据中心门户向省级节点申请使用省级和</w:t>
      </w:r>
      <w:r>
        <w:t>其他地市</w:t>
      </w:r>
      <w:r>
        <w:rPr>
          <w:rFonts w:hint="eastAsia"/>
        </w:rPr>
        <w:t>的数据资源或数据服务，</w:t>
      </w:r>
      <w:r>
        <w:t>供</w:t>
      </w:r>
      <w:r>
        <w:rPr>
          <w:rFonts w:hint="eastAsia"/>
        </w:rPr>
        <w:t>全市各地各</w:t>
      </w:r>
      <w:r>
        <w:t>部门使用。</w:t>
      </w:r>
      <w:r>
        <w:rPr>
          <w:rFonts w:cs="Times New Roman" w:hint="eastAsia"/>
        </w:rPr>
        <w:t>四是</w:t>
      </w:r>
      <w:r>
        <w:rPr>
          <w:rFonts w:cs="Times New Roman"/>
        </w:rPr>
        <w:t>基础设施</w:t>
      </w:r>
      <w:r>
        <w:rPr>
          <w:rFonts w:cs="Times New Roman" w:hint="eastAsia"/>
        </w:rPr>
        <w:t>，</w:t>
      </w:r>
      <w:r>
        <w:rPr>
          <w:rFonts w:hint="eastAsia"/>
        </w:rPr>
        <w:t>按照</w:t>
      </w:r>
      <w:proofErr w:type="gramStart"/>
      <w:r>
        <w:rPr>
          <w:rFonts w:hint="eastAsia"/>
        </w:rPr>
        <w:t>省数字</w:t>
      </w:r>
      <w:proofErr w:type="gramEnd"/>
      <w:r>
        <w:rPr>
          <w:rFonts w:hint="eastAsia"/>
        </w:rPr>
        <w:t>政府相关标准规范和要求，江门市统筹建设全市统一的电子政务云</w:t>
      </w:r>
      <w:r>
        <w:t>、电子政务外网</w:t>
      </w:r>
      <w:r>
        <w:rPr>
          <w:rFonts w:hint="eastAsia"/>
        </w:rPr>
        <w:t>骨干网络，并</w:t>
      </w:r>
      <w:r>
        <w:t>与省</w:t>
      </w:r>
      <w:r>
        <w:rPr>
          <w:rFonts w:hint="eastAsia"/>
        </w:rPr>
        <w:t>“数字政府”</w:t>
      </w:r>
      <w:r>
        <w:t>政务云、电子政务外</w:t>
      </w:r>
      <w:proofErr w:type="gramStart"/>
      <w:r>
        <w:t>网充分</w:t>
      </w:r>
      <w:proofErr w:type="gramEnd"/>
      <w:r>
        <w:t>对接。</w:t>
      </w:r>
    </w:p>
    <w:p w:rsidR="00E51332" w:rsidRDefault="00B767C7">
      <w:pPr>
        <w:pStyle w:val="3"/>
        <w:numPr>
          <w:ilvl w:val="0"/>
          <w:numId w:val="4"/>
        </w:numPr>
        <w:ind w:left="0" w:firstLineChars="200" w:firstLine="643"/>
      </w:pPr>
      <w:bookmarkStart w:id="36" w:name="_Toc40788371"/>
      <w:bookmarkStart w:id="37" w:name="_Toc29457125"/>
      <w:bookmarkStart w:id="38" w:name="_Toc28333847"/>
      <w:bookmarkStart w:id="39" w:name="_Toc28363265"/>
      <w:bookmarkStart w:id="40" w:name="_Toc45034894"/>
      <w:bookmarkStart w:id="41" w:name="_Toc29329178"/>
      <w:bookmarkStart w:id="42" w:name="_Toc40179870"/>
      <w:r>
        <w:lastRenderedPageBreak/>
        <w:t>与市（区）的关系</w:t>
      </w:r>
      <w:bookmarkEnd w:id="36"/>
      <w:bookmarkEnd w:id="37"/>
      <w:bookmarkEnd w:id="38"/>
      <w:bookmarkEnd w:id="39"/>
      <w:bookmarkEnd w:id="40"/>
      <w:bookmarkEnd w:id="41"/>
      <w:bookmarkEnd w:id="42"/>
      <w:r>
        <w:rPr>
          <w:rFonts w:hint="eastAsia"/>
        </w:rPr>
        <w:t>。</w:t>
      </w:r>
    </w:p>
    <w:p w:rsidR="00E51332" w:rsidRDefault="00B767C7">
      <w:pPr>
        <w:pStyle w:val="af"/>
        <w:ind w:firstLine="643"/>
      </w:pPr>
      <w:bookmarkStart w:id="43" w:name="_Hlk40717369"/>
      <w:r>
        <w:rPr>
          <w:rFonts w:cs="Times New Roman" w:hint="eastAsia"/>
          <w:b/>
          <w:bCs/>
        </w:rPr>
        <w:t>——管理方面。</w:t>
      </w:r>
      <w:r>
        <w:rPr>
          <w:rFonts w:hint="eastAsia"/>
        </w:rPr>
        <w:t>各市（区）在省、</w:t>
      </w:r>
      <w:proofErr w:type="gramStart"/>
      <w:r>
        <w:rPr>
          <w:rFonts w:hint="eastAsia"/>
        </w:rPr>
        <w:t>市数字</w:t>
      </w:r>
      <w:proofErr w:type="gramEnd"/>
      <w:r>
        <w:rPr>
          <w:rFonts w:hint="eastAsia"/>
        </w:rPr>
        <w:t>政府改革建设统一框架下，承担本地数字政府建设主体责任，在市</w:t>
      </w:r>
      <w:r>
        <w:rPr>
          <w:rFonts w:cs="Times New Roman" w:hint="eastAsia"/>
        </w:rPr>
        <w:t>政务服务数据管理</w:t>
      </w:r>
      <w:r>
        <w:rPr>
          <w:rFonts w:hint="eastAsia"/>
        </w:rPr>
        <w:t>局指导下，牵头推进本地数字政府领导机制建设，逐步推进信息技术机构整合改革，明确本地数字政府建设框架与任务，做好与本地各部门的分工协作，落实本地数字政府改革建设中，技术部门与业务部门的责任主体关系，做好上下贯通、与</w:t>
      </w:r>
      <w:proofErr w:type="gramStart"/>
      <w:r>
        <w:rPr>
          <w:rFonts w:hint="eastAsia"/>
        </w:rPr>
        <w:t>市数字</w:t>
      </w:r>
      <w:proofErr w:type="gramEnd"/>
      <w:r>
        <w:rPr>
          <w:rFonts w:hint="eastAsia"/>
        </w:rPr>
        <w:t>政府建设保持同频，推动数字政府各项改革建设任务落地。</w:t>
      </w:r>
    </w:p>
    <w:p w:rsidR="00E51332" w:rsidRDefault="00B767C7">
      <w:pPr>
        <w:pStyle w:val="af"/>
        <w:ind w:firstLine="643"/>
      </w:pPr>
      <w:r>
        <w:rPr>
          <w:rFonts w:cs="Times New Roman" w:hint="eastAsia"/>
          <w:b/>
          <w:bCs/>
        </w:rPr>
        <w:t>——业务方面。</w:t>
      </w:r>
      <w:r>
        <w:rPr>
          <w:rFonts w:hint="eastAsia"/>
        </w:rPr>
        <w:t>各市（区）</w:t>
      </w:r>
      <w:r>
        <w:rPr>
          <w:rFonts w:cs="Times New Roman" w:hint="eastAsia"/>
        </w:rPr>
        <w:t>政务服务数据管理</w:t>
      </w:r>
      <w:r>
        <w:rPr>
          <w:rFonts w:hint="eastAsia"/>
        </w:rPr>
        <w:t>局接受市</w:t>
      </w:r>
      <w:r>
        <w:rPr>
          <w:rFonts w:cs="Times New Roman" w:hint="eastAsia"/>
        </w:rPr>
        <w:t>政务服务数据管理</w:t>
      </w:r>
      <w:r>
        <w:rPr>
          <w:rFonts w:hint="eastAsia"/>
        </w:rPr>
        <w:t>局指导，负责本地政务信息化项目建设实施集约化管理，统筹政务信息化建设管理工作。负责本地政府职能转变、行政审批制度改革、权责清单、审批服务便民化等“放管服”改革相关工作。统筹推进本地政务服务体系建设，指导协调各级各部门政务服务事项进驻政务服务网和实体政务服务大厅，指导本地各级政务服务机构及其管理机构开展工作。</w:t>
      </w:r>
    </w:p>
    <w:p w:rsidR="00E51332" w:rsidRDefault="00B767C7">
      <w:pPr>
        <w:pStyle w:val="af"/>
        <w:ind w:firstLine="643"/>
      </w:pPr>
      <w:r>
        <w:rPr>
          <w:rFonts w:cs="Times New Roman" w:hint="eastAsia"/>
          <w:b/>
          <w:bCs/>
        </w:rPr>
        <w:t>——技术方面。</w:t>
      </w:r>
      <w:bookmarkEnd w:id="43"/>
      <w:r>
        <w:t>各市（区）数字政府原则上按照省</w:t>
      </w:r>
      <w:r>
        <w:rPr>
          <w:rFonts w:hint="eastAsia"/>
        </w:rPr>
        <w:t>、</w:t>
      </w:r>
      <w:r>
        <w:t>市规划、标准规范和总体框架进行集约化建设，实现基础资源共建共用、数据资源共治共享</w:t>
      </w:r>
      <w:r>
        <w:rPr>
          <w:rFonts w:hint="eastAsia"/>
        </w:rPr>
        <w:t>，</w:t>
      </w:r>
      <w:r>
        <w:t>支持各市（区）</w:t>
      </w:r>
      <w:r>
        <w:rPr>
          <w:rFonts w:hint="eastAsia"/>
        </w:rPr>
        <w:t>在全市统一框架下，</w:t>
      </w:r>
      <w:r>
        <w:t>探索建设本地</w:t>
      </w:r>
      <w:r>
        <w:rPr>
          <w:rFonts w:hint="eastAsia"/>
        </w:rPr>
        <w:t>区</w:t>
      </w:r>
      <w:r>
        <w:t>特色业务应用系统。</w:t>
      </w:r>
      <w:r>
        <w:rPr>
          <w:rFonts w:cs="Times New Roman" w:hint="eastAsia"/>
        </w:rPr>
        <w:t>一是</w:t>
      </w:r>
      <w:r>
        <w:rPr>
          <w:rFonts w:cs="Times New Roman"/>
        </w:rPr>
        <w:t>公共应用系统</w:t>
      </w:r>
      <w:r>
        <w:rPr>
          <w:rFonts w:cs="Times New Roman" w:hint="eastAsia"/>
        </w:rPr>
        <w:t>，</w:t>
      </w:r>
      <w:r>
        <w:rPr>
          <w:rFonts w:hint="eastAsia"/>
        </w:rPr>
        <w:t>由省统筹建设广东政务服务网、“</w:t>
      </w:r>
      <w:r>
        <w:t>粤省事”“粤商通”等</w:t>
      </w:r>
      <w:r>
        <w:rPr>
          <w:rFonts w:hint="eastAsia"/>
        </w:rPr>
        <w:t>公共</w:t>
      </w:r>
      <w:r>
        <w:t>应用平台，市</w:t>
      </w:r>
      <w:r>
        <w:rPr>
          <w:rFonts w:hint="eastAsia"/>
        </w:rPr>
        <w:t>统筹</w:t>
      </w:r>
      <w:r>
        <w:t>建设综合办公平台、公共视频会议</w:t>
      </w:r>
      <w:r>
        <w:lastRenderedPageBreak/>
        <w:t>系统等</w:t>
      </w:r>
      <w:r>
        <w:rPr>
          <w:rFonts w:hint="eastAsia"/>
        </w:rPr>
        <w:t>，</w:t>
      </w:r>
      <w:r>
        <w:t>各市（区）不再单独建设</w:t>
      </w:r>
      <w:r>
        <w:rPr>
          <w:rFonts w:hint="eastAsia"/>
        </w:rPr>
        <w:t>, 支持市（区）已有成熟的业务应用系统按照市统一标准完善后接入市级平台</w:t>
      </w:r>
      <w:r>
        <w:t>。</w:t>
      </w:r>
      <w:r>
        <w:rPr>
          <w:rFonts w:cs="Times New Roman" w:hint="eastAsia"/>
        </w:rPr>
        <w:t>二是</w:t>
      </w:r>
      <w:r>
        <w:rPr>
          <w:rFonts w:cs="Times New Roman"/>
        </w:rPr>
        <w:t>公共应用支撑</w:t>
      </w:r>
      <w:r>
        <w:rPr>
          <w:rFonts w:cs="Times New Roman" w:hint="eastAsia"/>
        </w:rPr>
        <w:t>系统，</w:t>
      </w:r>
      <w:r>
        <w:t>充分利用</w:t>
      </w:r>
      <w:proofErr w:type="gramStart"/>
      <w:r>
        <w:t>省数字</w:t>
      </w:r>
      <w:proofErr w:type="gramEnd"/>
      <w:r>
        <w:t>政府统筹建设的公共应用支撑平台，如统一身份认证</w:t>
      </w:r>
      <w:r>
        <w:rPr>
          <w:rFonts w:hint="eastAsia"/>
        </w:rPr>
        <w:t>（</w:t>
      </w:r>
      <w:proofErr w:type="gramStart"/>
      <w:r>
        <w:rPr>
          <w:rFonts w:hint="eastAsia"/>
        </w:rPr>
        <w:t>粤信签</w:t>
      </w:r>
      <w:proofErr w:type="gramEnd"/>
      <w:r>
        <w:rPr>
          <w:rFonts w:hint="eastAsia"/>
        </w:rPr>
        <w:t>）</w:t>
      </w:r>
      <w:r>
        <w:t>、地理信息服务、电子印章服务、电子证照、移动应用支撑等服务，</w:t>
      </w:r>
      <w:r>
        <w:rPr>
          <w:rFonts w:hint="eastAsia"/>
        </w:rPr>
        <w:t>利用市统建的物联网、视频、区块链等基础平台，</w:t>
      </w:r>
      <w:r>
        <w:t>各市（区）不再</w:t>
      </w:r>
      <w:r>
        <w:rPr>
          <w:rFonts w:hint="eastAsia"/>
        </w:rPr>
        <w:t>单独</w:t>
      </w:r>
      <w:r>
        <w:t>建设</w:t>
      </w:r>
      <w:r>
        <w:rPr>
          <w:rFonts w:hint="eastAsia"/>
        </w:rPr>
        <w:t>，支持各市（区）在应用“物联网、区块链”等创新领域结合本地实际先行先试</w:t>
      </w:r>
      <w:r>
        <w:t>。</w:t>
      </w:r>
      <w:r>
        <w:rPr>
          <w:rFonts w:cs="Times New Roman" w:hint="eastAsia"/>
        </w:rPr>
        <w:t>三是大数据中心，</w:t>
      </w:r>
      <w:r>
        <w:rPr>
          <w:rFonts w:hint="eastAsia"/>
        </w:rPr>
        <w:t>市统筹建设</w:t>
      </w:r>
      <w:r>
        <w:t>政务大数据中心</w:t>
      </w:r>
      <w:r>
        <w:rPr>
          <w:rFonts w:hint="eastAsia"/>
        </w:rPr>
        <w:t>江门</w:t>
      </w:r>
      <w:r>
        <w:t>节点</w:t>
      </w:r>
      <w:r>
        <w:rPr>
          <w:rFonts w:hint="eastAsia"/>
        </w:rPr>
        <w:t>，为各市（区）</w:t>
      </w:r>
      <w:r>
        <w:t>提供数据治理工具</w:t>
      </w:r>
      <w:r>
        <w:rPr>
          <w:rFonts w:hint="eastAsia"/>
        </w:rPr>
        <w:t>和数据服务</w:t>
      </w:r>
      <w:r>
        <w:t>，</w:t>
      </w:r>
      <w:r>
        <w:rPr>
          <w:rFonts w:hint="eastAsia"/>
        </w:rPr>
        <w:t>各市（区）通过数据共享交换平台向</w:t>
      </w:r>
      <w:r>
        <w:t>政务大数据中心</w:t>
      </w:r>
      <w:r>
        <w:rPr>
          <w:rFonts w:hint="eastAsia"/>
        </w:rPr>
        <w:t>江门</w:t>
      </w:r>
      <w:r>
        <w:t>节点</w:t>
      </w:r>
      <w:r>
        <w:rPr>
          <w:rFonts w:hint="eastAsia"/>
        </w:rPr>
        <w:t>汇聚业务数据资源</w:t>
      </w:r>
      <w:r>
        <w:t>。</w:t>
      </w:r>
      <w:r>
        <w:rPr>
          <w:rFonts w:cs="Times New Roman" w:hint="eastAsia"/>
        </w:rPr>
        <w:t>四是</w:t>
      </w:r>
      <w:r>
        <w:rPr>
          <w:rFonts w:cs="Times New Roman"/>
        </w:rPr>
        <w:t>基础设施</w:t>
      </w:r>
      <w:r>
        <w:rPr>
          <w:rFonts w:cs="Times New Roman" w:hint="eastAsia"/>
        </w:rPr>
        <w:t>，</w:t>
      </w:r>
      <w:r>
        <w:t>各市（区）原则上不再单独建设</w:t>
      </w:r>
      <w:r>
        <w:rPr>
          <w:rFonts w:hint="eastAsia"/>
        </w:rPr>
        <w:t>政务云</w:t>
      </w:r>
      <w:r>
        <w:t>，新建应用系统统一部署到</w:t>
      </w:r>
      <w:r>
        <w:rPr>
          <w:rFonts w:hint="eastAsia"/>
        </w:rPr>
        <w:t>市的电子政务云</w:t>
      </w:r>
      <w:r>
        <w:t>，已建系统逐步向市统一电子政务云迁移。</w:t>
      </w:r>
      <w:r>
        <w:rPr>
          <w:rFonts w:hint="eastAsia"/>
        </w:rPr>
        <w:t>市统筹建设“市-县-镇-村”四级电子政务外网骨干网络。</w:t>
      </w:r>
    </w:p>
    <w:p w:rsidR="00E51332" w:rsidRDefault="00B767C7">
      <w:pPr>
        <w:pStyle w:val="3"/>
        <w:numPr>
          <w:ilvl w:val="0"/>
          <w:numId w:val="4"/>
        </w:numPr>
        <w:ind w:left="0" w:firstLineChars="200" w:firstLine="643"/>
      </w:pPr>
      <w:bookmarkStart w:id="44" w:name="_Toc29457126"/>
      <w:bookmarkStart w:id="45" w:name="_Toc28333848"/>
      <w:bookmarkStart w:id="46" w:name="_Toc40179871"/>
      <w:bookmarkStart w:id="47" w:name="_Toc29329179"/>
      <w:bookmarkStart w:id="48" w:name="_Toc45034895"/>
      <w:bookmarkStart w:id="49" w:name="_Toc40788372"/>
      <w:bookmarkStart w:id="50" w:name="_Toc28363266"/>
      <w:r>
        <w:t>与</w:t>
      </w:r>
      <w:r>
        <w:rPr>
          <w:rFonts w:hint="eastAsia"/>
        </w:rPr>
        <w:t>市直各</w:t>
      </w:r>
      <w:r>
        <w:t>部门的关系</w:t>
      </w:r>
      <w:bookmarkEnd w:id="44"/>
      <w:bookmarkEnd w:id="45"/>
      <w:bookmarkEnd w:id="46"/>
      <w:bookmarkEnd w:id="47"/>
      <w:bookmarkEnd w:id="48"/>
      <w:bookmarkEnd w:id="49"/>
      <w:bookmarkEnd w:id="50"/>
      <w:r>
        <w:rPr>
          <w:rFonts w:hint="eastAsia"/>
        </w:rPr>
        <w:t>。</w:t>
      </w:r>
    </w:p>
    <w:p w:rsidR="00E51332" w:rsidRDefault="00B767C7">
      <w:pPr>
        <w:pStyle w:val="af"/>
        <w:ind w:firstLine="643"/>
      </w:pPr>
      <w:r>
        <w:rPr>
          <w:rFonts w:cs="Times New Roman" w:hint="eastAsia"/>
          <w:b/>
          <w:bCs/>
        </w:rPr>
        <w:t>——管理方面。</w:t>
      </w:r>
      <w:bookmarkStart w:id="51" w:name="_Hlk40725994"/>
      <w:r>
        <w:rPr>
          <w:rFonts w:cs="Times New Roman" w:hint="eastAsia"/>
        </w:rPr>
        <w:t>建立</w:t>
      </w:r>
      <w:proofErr w:type="gramStart"/>
      <w:r>
        <w:rPr>
          <w:rFonts w:cs="Times New Roman" w:hint="eastAsia"/>
        </w:rPr>
        <w:t>健全江</w:t>
      </w:r>
      <w:proofErr w:type="gramEnd"/>
      <w:r>
        <w:rPr>
          <w:rFonts w:cs="Times New Roman" w:hint="eastAsia"/>
        </w:rPr>
        <w:t>门市数字政府改革建设工作领导协调机制，协调解决数字政府改革建设工作中的重大问题</w:t>
      </w:r>
      <w:r>
        <w:rPr>
          <w:rFonts w:hint="eastAsia"/>
        </w:rPr>
        <w:t>。市</w:t>
      </w:r>
      <w:r>
        <w:rPr>
          <w:rFonts w:cs="Times New Roman" w:hint="eastAsia"/>
        </w:rPr>
        <w:t>政务服务数据管理</w:t>
      </w:r>
      <w:r>
        <w:rPr>
          <w:rFonts w:hint="eastAsia"/>
        </w:rPr>
        <w:t>局负责</w:t>
      </w:r>
      <w:proofErr w:type="gramStart"/>
      <w:r>
        <w:rPr>
          <w:rFonts w:hint="eastAsia"/>
        </w:rPr>
        <w:t>市数字</w:t>
      </w:r>
      <w:proofErr w:type="gramEnd"/>
      <w:r>
        <w:rPr>
          <w:rFonts w:hint="eastAsia"/>
        </w:rPr>
        <w:t>政府改革建设相关工作推进和部门间协调，负责制定相关标准规范和管理制度等，市直各部门在各自业务职能范围内开展数字政府改革建设工作。市</w:t>
      </w:r>
      <w:r>
        <w:rPr>
          <w:rFonts w:cs="Times New Roman" w:hint="eastAsia"/>
        </w:rPr>
        <w:t>政务服务数据管理</w:t>
      </w:r>
      <w:r>
        <w:rPr>
          <w:rFonts w:hint="eastAsia"/>
        </w:rPr>
        <w:t>局与市直各部门是“统”与“分”的关系，确保全市数字政府改革建设中信息化管理部门与业务部门的协作关系，合力协同、步调一致。</w:t>
      </w:r>
      <w:bookmarkEnd w:id="51"/>
    </w:p>
    <w:p w:rsidR="00E51332" w:rsidRDefault="00B767C7">
      <w:pPr>
        <w:pStyle w:val="af"/>
        <w:ind w:firstLine="643"/>
      </w:pPr>
      <w:r>
        <w:rPr>
          <w:rFonts w:cs="Times New Roman" w:hint="eastAsia"/>
          <w:b/>
          <w:bCs/>
        </w:rPr>
        <w:lastRenderedPageBreak/>
        <w:t>——业务方面。</w:t>
      </w:r>
      <w:r>
        <w:rPr>
          <w:rFonts w:hint="eastAsia"/>
        </w:rPr>
        <w:t>市</w:t>
      </w:r>
      <w:r>
        <w:rPr>
          <w:rFonts w:cs="Times New Roman" w:hint="eastAsia"/>
        </w:rPr>
        <w:t>政务服务数据管理</w:t>
      </w:r>
      <w:r>
        <w:rPr>
          <w:rFonts w:hint="eastAsia"/>
        </w:rPr>
        <w:t>局负责对市级政务信息化项目建设实施集约化管理，统筹全市信息化建设管理工作。负责全市政府职能转变、行政审批制度改革、权责清单、审批服务便民化等“放管服”改革相关工作。统筹推进全市政务服务体系建设，指导各地政务服务机构及其管理机构开展工作。各业务部门负责本部门本系统的业务事项梳理、业务流程优化、应用需求梳理、数据治理、专业系统整合与升级改造。</w:t>
      </w:r>
    </w:p>
    <w:p w:rsidR="00E51332" w:rsidRDefault="00B767C7">
      <w:pPr>
        <w:pStyle w:val="af"/>
        <w:ind w:firstLine="643"/>
      </w:pPr>
      <w:r>
        <w:rPr>
          <w:rFonts w:cs="Times New Roman" w:hint="eastAsia"/>
          <w:b/>
          <w:bCs/>
        </w:rPr>
        <w:t>——技术方面。</w:t>
      </w:r>
      <w:r>
        <w:rPr>
          <w:rFonts w:hint="eastAsia"/>
        </w:rPr>
        <w:t>市</w:t>
      </w:r>
      <w:r>
        <w:rPr>
          <w:rFonts w:cs="Times New Roman" w:hint="eastAsia"/>
        </w:rPr>
        <w:t>政务服务数据管理</w:t>
      </w:r>
      <w:r>
        <w:rPr>
          <w:rFonts w:hint="eastAsia"/>
        </w:rPr>
        <w:t>局统一建设和管理全市政务信息化基础设施、公共应用支撑平台和公共应用平台，各部门在全市统一框架体系下，结合业务发展需要和本单位信息化规划开展专业业务应用建设或服务。全市范围内基础资源共建共用、数据资源共治共享。一是公共应用系统，由省统筹建设广东政务服务网、“粤省事”“粤商通”等公共应用平台，市统筹建设综合办公平台、公共视频会议系统等，由市</w:t>
      </w:r>
      <w:r>
        <w:rPr>
          <w:rFonts w:cs="Times New Roman" w:hint="eastAsia"/>
        </w:rPr>
        <w:t>政务服务数据管理</w:t>
      </w:r>
      <w:r>
        <w:rPr>
          <w:rFonts w:hint="eastAsia"/>
        </w:rPr>
        <w:t>局统筹在市直部门的应用和推广。二是公共应用支撑系统，</w:t>
      </w:r>
      <w:proofErr w:type="gramStart"/>
      <w:r>
        <w:rPr>
          <w:rFonts w:hint="eastAsia"/>
        </w:rPr>
        <w:t>省数字</w:t>
      </w:r>
      <w:proofErr w:type="gramEnd"/>
      <w:r>
        <w:rPr>
          <w:rFonts w:hint="eastAsia"/>
        </w:rPr>
        <w:t>政府统筹建设的公共应用支撑平台，如统一身份认证、地理信息服务、电子印章服务、电子证照、移动应用支撑等服务，市统建的物联网、视频、区块链等基础平台，各部门不再建设，统一基于公共支撑平台进行项目建设。三是大数据中心，市统筹建设政务大数据中心江门节点，为各部门提供数据治理工具和数据服务，各部门通过数据共享交换平台向政务大数据中心江门节点汇聚</w:t>
      </w:r>
      <w:r>
        <w:rPr>
          <w:rFonts w:hint="eastAsia"/>
        </w:rPr>
        <w:lastRenderedPageBreak/>
        <w:t>业务数据资源。四是基础设施，各部门原则上不再单独建设政务云，新建应用系统统一部署到市的电子政务云，已建系统逐步向市统一电子政务云迁移。五是</w:t>
      </w:r>
      <w:r>
        <w:t>专业应用系统</w:t>
      </w:r>
      <w:r>
        <w:rPr>
          <w:rFonts w:hint="eastAsia"/>
        </w:rPr>
        <w:t>，</w:t>
      </w:r>
      <w:r>
        <w:t>由各业务部门</w:t>
      </w:r>
      <w:r>
        <w:rPr>
          <w:rFonts w:hint="eastAsia"/>
        </w:rPr>
        <w:t>按需</w:t>
      </w:r>
      <w:r>
        <w:t>组织建设</w:t>
      </w:r>
      <w:r>
        <w:rPr>
          <w:rFonts w:hint="eastAsia"/>
        </w:rPr>
        <w:t>和运维管理</w:t>
      </w:r>
      <w:r>
        <w:t>。</w:t>
      </w:r>
    </w:p>
    <w:p w:rsidR="00E51332" w:rsidRDefault="00B767C7">
      <w:pPr>
        <w:pStyle w:val="3"/>
        <w:numPr>
          <w:ilvl w:val="0"/>
          <w:numId w:val="4"/>
        </w:numPr>
        <w:ind w:left="0" w:firstLineChars="200" w:firstLine="643"/>
      </w:pPr>
      <w:bookmarkStart w:id="52" w:name="_Toc40788373"/>
      <w:bookmarkStart w:id="53" w:name="_Toc45034896"/>
      <w:r>
        <w:rPr>
          <w:rFonts w:hint="eastAsia"/>
        </w:rPr>
        <w:t>与其他规划的关系</w:t>
      </w:r>
      <w:bookmarkEnd w:id="52"/>
      <w:bookmarkEnd w:id="53"/>
      <w:r>
        <w:rPr>
          <w:rFonts w:hint="eastAsia"/>
        </w:rPr>
        <w:t>。</w:t>
      </w:r>
    </w:p>
    <w:p w:rsidR="00E51332" w:rsidRDefault="00B767C7">
      <w:pPr>
        <w:pStyle w:val="af"/>
        <w:ind w:firstLine="643"/>
      </w:pPr>
      <w:r>
        <w:rPr>
          <w:rFonts w:cs="Times New Roman" w:hint="eastAsia"/>
          <w:b/>
          <w:bCs/>
        </w:rPr>
        <w:t>——与江门市国民经济和社会发展“十四五”规划的关系。</w:t>
      </w:r>
      <w:r>
        <w:rPr>
          <w:rFonts w:hint="eastAsia"/>
        </w:rPr>
        <w:t>数字政府改革建设服务于国民经济和社会发展的大局，数字政府建设总体规划是国民经济和社会发展</w:t>
      </w:r>
      <w:r>
        <w:t>“</w:t>
      </w:r>
      <w:r>
        <w:rPr>
          <w:rFonts w:hint="eastAsia"/>
        </w:rPr>
        <w:t>十四五</w:t>
      </w:r>
      <w:r>
        <w:t>”规划</w:t>
      </w:r>
      <w:r>
        <w:rPr>
          <w:rFonts w:hint="eastAsia"/>
        </w:rPr>
        <w:t>重要组成部分，是“十四五”规划</w:t>
      </w:r>
      <w:r>
        <w:t>关于信息化任务的细化落实</w:t>
      </w:r>
      <w:r>
        <w:rPr>
          <w:rFonts w:hint="eastAsia"/>
        </w:rPr>
        <w:t>，是指导未来我市各级</w:t>
      </w:r>
      <w:r>
        <w:t>各部门信息化工作具体的行动指南。</w:t>
      </w:r>
    </w:p>
    <w:p w:rsidR="00E51332" w:rsidRDefault="00B767C7">
      <w:pPr>
        <w:pStyle w:val="af"/>
        <w:ind w:firstLine="643"/>
      </w:pPr>
      <w:r>
        <w:rPr>
          <w:rFonts w:cs="Times New Roman" w:hint="eastAsia"/>
          <w:b/>
          <w:bCs/>
        </w:rPr>
        <w:t>——与其他专项规划的关系。</w:t>
      </w:r>
      <w:r>
        <w:rPr>
          <w:rFonts w:hint="eastAsia"/>
        </w:rPr>
        <w:t>数字政府建设的目的在于提升政府各职能领域的治理能力，数字政府总体规划与各专项规划是技术与业务的关系，二者相辅相成、相互促进。数字政府建设总体规划将整合各专项规划的业务需求，通过信息化建设给与支撑，各专项规划遵循数字政府建设总体规划的各项要求，做好领域内的信息化建设。二者相互融合，通过信息化技术催化和推动经济社会发展的各项工作任务，又通过业务发展反向推进信息化技术应用深度和成效，相互促进，协调发展。</w:t>
      </w:r>
    </w:p>
    <w:p w:rsidR="00E51332" w:rsidRDefault="00B767C7">
      <w:pPr>
        <w:pStyle w:val="af"/>
        <w:ind w:firstLine="643"/>
      </w:pPr>
      <w:r>
        <w:rPr>
          <w:rFonts w:cs="Times New Roman" w:hint="eastAsia"/>
          <w:b/>
          <w:bCs/>
        </w:rPr>
        <w:t>——与部门信息化规划的关系。</w:t>
      </w:r>
      <w:r>
        <w:rPr>
          <w:rFonts w:hint="eastAsia"/>
        </w:rPr>
        <w:t>各单位政务信息化规划是各单位谋划一定时期内政务信息化发展、布局本行业领域信息化项目、合理配置公共资源的重要依据，是我市数字政</w:t>
      </w:r>
      <w:r>
        <w:rPr>
          <w:rFonts w:hint="eastAsia"/>
        </w:rPr>
        <w:lastRenderedPageBreak/>
        <w:t>府建设总体规划的一部分。各单位应严格对</w:t>
      </w:r>
      <w:proofErr w:type="gramStart"/>
      <w:r>
        <w:rPr>
          <w:rFonts w:hint="eastAsia"/>
        </w:rPr>
        <w:t>标数字</w:t>
      </w:r>
      <w:proofErr w:type="gramEnd"/>
      <w:r>
        <w:rPr>
          <w:rFonts w:hint="eastAsia"/>
        </w:rPr>
        <w:t>政府改革建设要求，</w:t>
      </w:r>
      <w:bookmarkStart w:id="54" w:name="_Hlk40724292"/>
      <w:r>
        <w:rPr>
          <w:rFonts w:hint="eastAsia"/>
        </w:rPr>
        <w:t>在数字政府建设总体规划的框架体系下，结合业务发展需要和本单位实际</w:t>
      </w:r>
      <w:bookmarkEnd w:id="54"/>
      <w:r>
        <w:rPr>
          <w:rFonts w:hint="eastAsia"/>
        </w:rPr>
        <w:t>，制定本系统、本单位政务信息化规划或实施方案，报市</w:t>
      </w:r>
      <w:r>
        <w:rPr>
          <w:rFonts w:cs="Times New Roman" w:hint="eastAsia"/>
        </w:rPr>
        <w:t>政务服务数据管理</w:t>
      </w:r>
      <w:r>
        <w:rPr>
          <w:rFonts w:hint="eastAsia"/>
        </w:rPr>
        <w:t>局备案，作为政务信息化项目立项审批的重要依据。</w:t>
      </w:r>
    </w:p>
    <w:p w:rsidR="00E51332" w:rsidRDefault="00B767C7">
      <w:pPr>
        <w:pStyle w:val="1"/>
      </w:pPr>
      <w:bookmarkStart w:id="55" w:name="_Toc66093949"/>
      <w:bookmarkStart w:id="56" w:name="_Toc57725760"/>
      <w:bookmarkStart w:id="57" w:name="_Toc64903387"/>
      <w:r>
        <w:rPr>
          <w:rFonts w:hint="eastAsia"/>
        </w:rPr>
        <w:t>总体架构</w:t>
      </w:r>
      <w:bookmarkEnd w:id="55"/>
      <w:bookmarkEnd w:id="56"/>
      <w:bookmarkEnd w:id="57"/>
    </w:p>
    <w:p w:rsidR="00E51332" w:rsidRDefault="00B767C7">
      <w:pPr>
        <w:pStyle w:val="2"/>
        <w:spacing w:before="156" w:after="156"/>
        <w:ind w:firstLine="640"/>
      </w:pPr>
      <w:bookmarkStart w:id="58" w:name="_Toc57725761"/>
      <w:bookmarkStart w:id="59" w:name="_Toc66093950"/>
      <w:bookmarkStart w:id="60" w:name="_Toc64903388"/>
      <w:r>
        <w:rPr>
          <w:rFonts w:hint="eastAsia"/>
        </w:rPr>
        <w:t>管理架构</w:t>
      </w:r>
      <w:bookmarkEnd w:id="58"/>
      <w:r>
        <w:rPr>
          <w:rFonts w:hint="eastAsia"/>
        </w:rPr>
        <w:t>。</w:t>
      </w:r>
      <w:bookmarkEnd w:id="59"/>
      <w:bookmarkEnd w:id="60"/>
    </w:p>
    <w:p w:rsidR="00E51332" w:rsidRDefault="00B767C7">
      <w:pPr>
        <w:ind w:firstLine="640"/>
      </w:pPr>
      <w:r>
        <w:rPr>
          <w:rFonts w:hint="eastAsia"/>
        </w:rPr>
        <w:t>以“管运分离”为原则，在</w:t>
      </w:r>
      <w:proofErr w:type="gramStart"/>
      <w:r>
        <w:rPr>
          <w:rFonts w:hint="eastAsia"/>
        </w:rPr>
        <w:t>省数字</w:t>
      </w:r>
      <w:proofErr w:type="gramEnd"/>
      <w:r>
        <w:rPr>
          <w:rFonts w:hint="eastAsia"/>
        </w:rPr>
        <w:t>政府改革建设管理体系框架下，在行政机制、建设运营、项目管理、智库支撑等方面进行创新，构建“统一领导、上下衔接、运作高效、统筹推进”的江门市数字政府管理体系。</w:t>
      </w:r>
    </w:p>
    <w:p w:rsidR="00E51332" w:rsidRDefault="00B767C7">
      <w:pPr>
        <w:spacing w:line="240" w:lineRule="auto"/>
        <w:ind w:firstLineChars="0" w:firstLine="0"/>
        <w:jc w:val="center"/>
        <w:rPr>
          <w:rFonts w:cs="Times New Roman"/>
          <w:sz w:val="24"/>
          <w:szCs w:val="24"/>
        </w:rPr>
      </w:pPr>
      <w:r>
        <w:rPr>
          <w:rFonts w:hint="eastAsia"/>
          <w:noProof/>
        </w:rPr>
        <w:drawing>
          <wp:inline distT="0" distB="0" distL="0" distR="0" wp14:anchorId="15F1EE22" wp14:editId="7D4951A2">
            <wp:extent cx="5274310" cy="2835275"/>
            <wp:effectExtent l="0" t="0" r="2540" b="3175"/>
            <wp:docPr id="56" name="图片 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 name="图片 56"/>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a:xfrm>
                      <a:off x="0" y="0"/>
                      <a:ext cx="5274310" cy="2835275"/>
                    </a:xfrm>
                    <a:prstGeom prst="rect">
                      <a:avLst/>
                    </a:prstGeom>
                    <a:noFill/>
                    <a:ln>
                      <a:noFill/>
                    </a:ln>
                  </pic:spPr>
                </pic:pic>
              </a:graphicData>
            </a:graphic>
          </wp:inline>
        </w:drawing>
      </w:r>
    </w:p>
    <w:p w:rsidR="00E51332" w:rsidRDefault="00B767C7">
      <w:pPr>
        <w:spacing w:line="240" w:lineRule="auto"/>
        <w:ind w:firstLineChars="0" w:firstLine="0"/>
        <w:jc w:val="center"/>
        <w:rPr>
          <w:rFonts w:ascii="黑体" w:eastAsia="黑体" w:hAnsi="黑体" w:cs="Times New Roman"/>
          <w:sz w:val="24"/>
          <w:szCs w:val="24"/>
        </w:rPr>
      </w:pPr>
      <w:r>
        <w:rPr>
          <w:rFonts w:ascii="黑体" w:eastAsia="黑体" w:hAnsi="黑体" w:cs="Times New Roman"/>
          <w:sz w:val="24"/>
          <w:szCs w:val="24"/>
        </w:rPr>
        <w:t xml:space="preserve">图 </w:t>
      </w:r>
      <w:r>
        <w:rPr>
          <w:rFonts w:ascii="黑体" w:eastAsia="黑体" w:hAnsi="黑体" w:cs="Times New Roman"/>
          <w:sz w:val="24"/>
          <w:szCs w:val="24"/>
        </w:rPr>
        <w:fldChar w:fldCharType="begin"/>
      </w:r>
      <w:r>
        <w:rPr>
          <w:rFonts w:ascii="黑体" w:eastAsia="黑体" w:hAnsi="黑体" w:cs="Times New Roman"/>
          <w:sz w:val="24"/>
          <w:szCs w:val="24"/>
        </w:rPr>
        <w:instrText xml:space="preserve"> SEQ 图 \* ARABIC </w:instrText>
      </w:r>
      <w:r>
        <w:rPr>
          <w:rFonts w:ascii="黑体" w:eastAsia="黑体" w:hAnsi="黑体" w:cs="Times New Roman"/>
          <w:sz w:val="24"/>
          <w:szCs w:val="24"/>
        </w:rPr>
        <w:fldChar w:fldCharType="separate"/>
      </w:r>
      <w:r>
        <w:rPr>
          <w:rFonts w:ascii="黑体" w:eastAsia="黑体" w:hAnsi="黑体" w:cs="Times New Roman"/>
          <w:sz w:val="24"/>
          <w:szCs w:val="24"/>
        </w:rPr>
        <w:t>1</w:t>
      </w:r>
      <w:r>
        <w:rPr>
          <w:rFonts w:ascii="黑体" w:eastAsia="黑体" w:hAnsi="黑体" w:cs="Times New Roman"/>
          <w:sz w:val="24"/>
          <w:szCs w:val="24"/>
        </w:rPr>
        <w:fldChar w:fldCharType="end"/>
      </w:r>
      <w:r>
        <w:rPr>
          <w:rFonts w:ascii="黑体" w:eastAsia="黑体" w:hAnsi="黑体" w:cs="Times New Roman"/>
          <w:sz w:val="24"/>
          <w:szCs w:val="24"/>
        </w:rPr>
        <w:t xml:space="preserve"> </w:t>
      </w:r>
      <w:r>
        <w:rPr>
          <w:rFonts w:ascii="黑体" w:eastAsia="黑体" w:hAnsi="黑体" w:cs="Times New Roman" w:hint="eastAsia"/>
          <w:sz w:val="24"/>
          <w:szCs w:val="24"/>
        </w:rPr>
        <w:t>江门市</w:t>
      </w:r>
      <w:r>
        <w:rPr>
          <w:rFonts w:ascii="黑体" w:eastAsia="黑体" w:hAnsi="黑体" w:cs="Times New Roman"/>
          <w:sz w:val="24"/>
          <w:szCs w:val="24"/>
        </w:rPr>
        <w:t>数字政府管理架构图</w:t>
      </w:r>
    </w:p>
    <w:p w:rsidR="00E51332" w:rsidRDefault="00B767C7">
      <w:pPr>
        <w:pStyle w:val="3"/>
        <w:numPr>
          <w:ilvl w:val="0"/>
          <w:numId w:val="0"/>
        </w:numPr>
        <w:ind w:left="643"/>
      </w:pPr>
      <w:r>
        <w:rPr>
          <w:rFonts w:hint="eastAsia"/>
        </w:rPr>
        <w:t>1.统筹管理。</w:t>
      </w:r>
    </w:p>
    <w:p w:rsidR="00E51332" w:rsidRDefault="00B767C7">
      <w:pPr>
        <w:ind w:firstLine="640"/>
      </w:pPr>
      <w:r>
        <w:rPr>
          <w:rFonts w:hint="eastAsia"/>
        </w:rPr>
        <w:t>建立</w:t>
      </w:r>
      <w:proofErr w:type="gramStart"/>
      <w:r>
        <w:rPr>
          <w:rFonts w:hint="eastAsia"/>
        </w:rPr>
        <w:t>健全江</w:t>
      </w:r>
      <w:proofErr w:type="gramEnd"/>
      <w:r>
        <w:rPr>
          <w:rFonts w:hint="eastAsia"/>
        </w:rPr>
        <w:t>门市数字政府改革建设工作领导协调机制，建立政府及部门首席数据官（</w:t>
      </w:r>
      <w:r>
        <w:rPr>
          <w:rFonts w:hint="eastAsia"/>
        </w:rPr>
        <w:t>CDO</w:t>
      </w:r>
      <w:r>
        <w:rPr>
          <w:rFonts w:hint="eastAsia"/>
        </w:rPr>
        <w:t>）制度，协调解决数字政</w:t>
      </w:r>
      <w:r>
        <w:rPr>
          <w:rFonts w:hint="eastAsia"/>
        </w:rPr>
        <w:lastRenderedPageBreak/>
        <w:t>府改革建设工作重大问题。市政务服务数据管理局作为</w:t>
      </w:r>
      <w:proofErr w:type="gramStart"/>
      <w:r>
        <w:rPr>
          <w:rFonts w:hint="eastAsia"/>
        </w:rPr>
        <w:t>市数字</w:t>
      </w:r>
      <w:proofErr w:type="gramEnd"/>
      <w:r>
        <w:rPr>
          <w:rFonts w:hint="eastAsia"/>
        </w:rPr>
        <w:t>政府改革建设行政主管机构，负责顶层设计、规划建设、协调统筹和监督指导等工作，负责公共类项目具体实施和部门协调工作，统筹全市政务信息化服务项目管理、相关标准制定。各市（区）政务服务数据管理局在省市管理框架下进行本行政区域内数字政府工作的组织和安排。各市（区）、各机关单位参照设立数据官职位，负责</w:t>
      </w:r>
      <w:proofErr w:type="gramStart"/>
      <w:r>
        <w:rPr>
          <w:rFonts w:hint="eastAsia"/>
        </w:rPr>
        <w:t>对接市</w:t>
      </w:r>
      <w:proofErr w:type="gramEnd"/>
      <w:r>
        <w:rPr>
          <w:rFonts w:hint="eastAsia"/>
        </w:rPr>
        <w:t xml:space="preserve">CDO </w:t>
      </w:r>
      <w:r>
        <w:rPr>
          <w:rFonts w:hint="eastAsia"/>
        </w:rPr>
        <w:t>要求的具体工作，开展业务流程再造、打通数据壁垒和信息系统融合的相关工作。</w:t>
      </w:r>
    </w:p>
    <w:p w:rsidR="00E51332" w:rsidRDefault="00B767C7">
      <w:pPr>
        <w:pStyle w:val="3"/>
        <w:numPr>
          <w:ilvl w:val="0"/>
          <w:numId w:val="0"/>
        </w:numPr>
        <w:ind w:left="643"/>
      </w:pPr>
      <w:r>
        <w:rPr>
          <w:rFonts w:hint="eastAsia"/>
        </w:rPr>
        <w:t>2.建设运营。</w:t>
      </w:r>
    </w:p>
    <w:p w:rsidR="00E51332" w:rsidRDefault="00B767C7">
      <w:pPr>
        <w:ind w:firstLine="640"/>
      </w:pPr>
      <w:r>
        <w:rPr>
          <w:rFonts w:hint="eastAsia"/>
        </w:rPr>
        <w:t>数字政府运营由市级数</w:t>
      </w:r>
      <w:proofErr w:type="gramStart"/>
      <w:r>
        <w:rPr>
          <w:rFonts w:hint="eastAsia"/>
        </w:rPr>
        <w:t>字政府</w:t>
      </w:r>
      <w:proofErr w:type="gramEnd"/>
      <w:r>
        <w:rPr>
          <w:rFonts w:hint="eastAsia"/>
        </w:rPr>
        <w:t>建设运营中心进行统筹管理，以购买服务的方式吸纳优秀企业提供本地化的建设和运行维护服务，确保</w:t>
      </w:r>
      <w:proofErr w:type="gramStart"/>
      <w:r>
        <w:rPr>
          <w:rFonts w:hint="eastAsia"/>
        </w:rPr>
        <w:t>市数字</w:t>
      </w:r>
      <w:proofErr w:type="gramEnd"/>
      <w:r>
        <w:rPr>
          <w:rFonts w:hint="eastAsia"/>
        </w:rPr>
        <w:t>政府建设运营持续、可靠。参与数字政府建设的相关企业以市场竞争方式参与</w:t>
      </w:r>
      <w:proofErr w:type="gramStart"/>
      <w:r>
        <w:rPr>
          <w:rFonts w:hint="eastAsia"/>
        </w:rPr>
        <w:t>市数字</w:t>
      </w:r>
      <w:proofErr w:type="gramEnd"/>
      <w:r>
        <w:rPr>
          <w:rFonts w:hint="eastAsia"/>
        </w:rPr>
        <w:t>政府基础设施和系统的建设和运行维护工作。</w:t>
      </w:r>
    </w:p>
    <w:p w:rsidR="00E51332" w:rsidRDefault="00B767C7">
      <w:pPr>
        <w:pStyle w:val="3"/>
        <w:numPr>
          <w:ilvl w:val="0"/>
          <w:numId w:val="0"/>
        </w:numPr>
        <w:ind w:left="643"/>
      </w:pPr>
      <w:r>
        <w:rPr>
          <w:rFonts w:hint="eastAsia"/>
        </w:rPr>
        <w:t>3.项目管理。</w:t>
      </w:r>
    </w:p>
    <w:p w:rsidR="00E51332" w:rsidRDefault="00B767C7">
      <w:pPr>
        <w:ind w:firstLine="640"/>
      </w:pPr>
      <w:r>
        <w:rPr>
          <w:rFonts w:hint="eastAsia"/>
        </w:rPr>
        <w:t>理顺市政务信息化服务项目全过程管理机制和责任分工，促进市政务信息化服务项目的立项、采购、实施、验收等环节的规范化，</w:t>
      </w:r>
      <w:proofErr w:type="gramStart"/>
      <w:r>
        <w:rPr>
          <w:rFonts w:hint="eastAsia"/>
        </w:rPr>
        <w:t>保障市</w:t>
      </w:r>
      <w:proofErr w:type="gramEnd"/>
      <w:r>
        <w:rPr>
          <w:rFonts w:hint="eastAsia"/>
        </w:rPr>
        <w:t>政务信息化服务项目的统一性、整合性，提高市政务信息化建设质量和管理水平。推动我市政务信息化服务项目由政府投资建设向购买服务转变，实现政府轻资产运行，提高项目实施灵活性。引入咨询、监理、测评等第三方服务，提供项目管理、评估、测评等专业服务，</w:t>
      </w:r>
      <w:r>
        <w:rPr>
          <w:rFonts w:hint="eastAsia"/>
        </w:rPr>
        <w:lastRenderedPageBreak/>
        <w:t>补齐信息化专业人才短缺和经验不足短板。</w:t>
      </w:r>
    </w:p>
    <w:p w:rsidR="00E51332" w:rsidRDefault="00B767C7">
      <w:pPr>
        <w:pStyle w:val="3"/>
        <w:numPr>
          <w:ilvl w:val="0"/>
          <w:numId w:val="0"/>
        </w:numPr>
        <w:ind w:left="643"/>
      </w:pPr>
      <w:r>
        <w:rPr>
          <w:rFonts w:hint="eastAsia"/>
        </w:rPr>
        <w:t>4.智库支撑。</w:t>
      </w:r>
    </w:p>
    <w:p w:rsidR="00E51332" w:rsidRDefault="00B767C7">
      <w:pPr>
        <w:ind w:firstLine="640"/>
      </w:pPr>
      <w:r>
        <w:rPr>
          <w:rFonts w:hint="eastAsia"/>
        </w:rPr>
        <w:t>建设完善数字政府改革建设专家委员会及专家库，参与</w:t>
      </w:r>
      <w:proofErr w:type="gramStart"/>
      <w:r>
        <w:rPr>
          <w:rFonts w:hint="eastAsia"/>
        </w:rPr>
        <w:t>市数字</w:t>
      </w:r>
      <w:proofErr w:type="gramEnd"/>
      <w:r>
        <w:rPr>
          <w:rFonts w:hint="eastAsia"/>
        </w:rPr>
        <w:t>政府改革建设咨询、论证评审、技术指导、课题研究等工作，通过借助专家、研究院所和第三</w:t>
      </w:r>
      <w:proofErr w:type="gramStart"/>
      <w:r>
        <w:rPr>
          <w:rFonts w:hint="eastAsia"/>
        </w:rPr>
        <w:t>方咨询</w:t>
      </w:r>
      <w:proofErr w:type="gramEnd"/>
      <w:r>
        <w:rPr>
          <w:rFonts w:hint="eastAsia"/>
        </w:rPr>
        <w:t>机构等智库力量，为我市数字政府改革建设工作提供前瞻性、高水平的决策咨询和技术支撑。</w:t>
      </w:r>
    </w:p>
    <w:p w:rsidR="00E51332" w:rsidRDefault="00B767C7">
      <w:pPr>
        <w:pStyle w:val="2"/>
        <w:spacing w:before="156" w:after="156"/>
        <w:ind w:firstLine="640"/>
      </w:pPr>
      <w:bookmarkStart w:id="61" w:name="_Toc57725762"/>
      <w:bookmarkStart w:id="62" w:name="_Toc66093951"/>
      <w:bookmarkStart w:id="63" w:name="_Toc64903389"/>
      <w:r>
        <w:rPr>
          <w:rFonts w:hint="eastAsia"/>
        </w:rPr>
        <w:t>业务架构</w:t>
      </w:r>
      <w:bookmarkEnd w:id="61"/>
      <w:r>
        <w:rPr>
          <w:rFonts w:hint="eastAsia"/>
        </w:rPr>
        <w:t>。</w:t>
      </w:r>
      <w:bookmarkEnd w:id="62"/>
      <w:bookmarkEnd w:id="63"/>
    </w:p>
    <w:p w:rsidR="00E51332" w:rsidRDefault="00B767C7">
      <w:pPr>
        <w:ind w:firstLine="640"/>
      </w:pPr>
      <w:r>
        <w:rPr>
          <w:rFonts w:hint="eastAsia"/>
        </w:rPr>
        <w:t>面向公众、企业、政府工作人员等数字政府的主要用户群体，按照业务协同、系统整合的原则，围绕政府“服务、治理、管理”的核心业务职能，按照大系统、大平台的理念，突破传统业务条线垂直运作、</w:t>
      </w:r>
      <w:proofErr w:type="gramStart"/>
      <w:r>
        <w:rPr>
          <w:rFonts w:hint="eastAsia"/>
        </w:rPr>
        <w:t>单部门</w:t>
      </w:r>
      <w:proofErr w:type="gramEnd"/>
      <w:r>
        <w:rPr>
          <w:rFonts w:hint="eastAsia"/>
        </w:rPr>
        <w:t>内循环模式，形成以数据驱动业务协同的新模式，构建我市纵向贯通、横向协同、内外联通的服务型数字政府业务体系。</w:t>
      </w:r>
    </w:p>
    <w:p w:rsidR="00E51332" w:rsidRDefault="00B767C7">
      <w:pPr>
        <w:spacing w:line="360" w:lineRule="auto"/>
        <w:ind w:firstLineChars="0" w:firstLine="0"/>
      </w:pPr>
      <w:r>
        <w:rPr>
          <w:noProof/>
        </w:rPr>
        <w:drawing>
          <wp:inline distT="0" distB="0" distL="0" distR="0" wp14:anchorId="0422F1D0" wp14:editId="4BA37375">
            <wp:extent cx="4819650" cy="2922776"/>
            <wp:effectExtent l="0" t="0" r="0" b="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a:xfrm>
                      <a:off x="0" y="0"/>
                      <a:ext cx="4817330" cy="2921369"/>
                    </a:xfrm>
                    <a:prstGeom prst="rect">
                      <a:avLst/>
                    </a:prstGeom>
                    <a:noFill/>
                    <a:ln>
                      <a:noFill/>
                    </a:ln>
                  </pic:spPr>
                </pic:pic>
              </a:graphicData>
            </a:graphic>
          </wp:inline>
        </w:drawing>
      </w:r>
    </w:p>
    <w:p w:rsidR="00E51332" w:rsidRDefault="00B767C7">
      <w:pPr>
        <w:spacing w:line="240" w:lineRule="auto"/>
        <w:ind w:firstLineChars="0" w:firstLine="0"/>
        <w:jc w:val="center"/>
        <w:rPr>
          <w:rFonts w:ascii="黑体" w:eastAsia="黑体" w:hAnsi="黑体" w:cs="Times New Roman"/>
          <w:sz w:val="24"/>
          <w:szCs w:val="24"/>
        </w:rPr>
      </w:pPr>
      <w:r>
        <w:rPr>
          <w:rFonts w:ascii="黑体" w:eastAsia="黑体" w:hAnsi="黑体" w:cs="Times New Roman"/>
          <w:sz w:val="24"/>
          <w:szCs w:val="24"/>
        </w:rPr>
        <w:t xml:space="preserve">图 </w:t>
      </w:r>
      <w:r>
        <w:rPr>
          <w:rFonts w:ascii="黑体" w:eastAsia="黑体" w:hAnsi="黑体" w:cs="Times New Roman"/>
          <w:sz w:val="24"/>
          <w:szCs w:val="24"/>
        </w:rPr>
        <w:fldChar w:fldCharType="begin"/>
      </w:r>
      <w:r>
        <w:rPr>
          <w:rFonts w:ascii="黑体" w:eastAsia="黑体" w:hAnsi="黑体" w:cs="Times New Roman"/>
          <w:sz w:val="24"/>
          <w:szCs w:val="24"/>
        </w:rPr>
        <w:instrText xml:space="preserve"> SEQ 图 \* ARABIC </w:instrText>
      </w:r>
      <w:r>
        <w:rPr>
          <w:rFonts w:ascii="黑体" w:eastAsia="黑体" w:hAnsi="黑体" w:cs="Times New Roman"/>
          <w:sz w:val="24"/>
          <w:szCs w:val="24"/>
        </w:rPr>
        <w:fldChar w:fldCharType="separate"/>
      </w:r>
      <w:r>
        <w:rPr>
          <w:rFonts w:ascii="黑体" w:eastAsia="黑体" w:hAnsi="黑体" w:cs="Times New Roman"/>
          <w:sz w:val="24"/>
          <w:szCs w:val="24"/>
        </w:rPr>
        <w:t>2</w:t>
      </w:r>
      <w:r>
        <w:rPr>
          <w:rFonts w:ascii="黑体" w:eastAsia="黑体" w:hAnsi="黑体" w:cs="Times New Roman"/>
          <w:sz w:val="24"/>
          <w:szCs w:val="24"/>
        </w:rPr>
        <w:fldChar w:fldCharType="end"/>
      </w:r>
      <w:r>
        <w:rPr>
          <w:rFonts w:ascii="黑体" w:eastAsia="黑体" w:hAnsi="黑体" w:cs="Times New Roman"/>
          <w:sz w:val="24"/>
          <w:szCs w:val="24"/>
        </w:rPr>
        <w:t xml:space="preserve"> </w:t>
      </w:r>
      <w:r>
        <w:rPr>
          <w:rFonts w:ascii="黑体" w:eastAsia="黑体" w:hAnsi="黑体" w:cs="Times New Roman" w:hint="eastAsia"/>
          <w:sz w:val="24"/>
          <w:szCs w:val="24"/>
        </w:rPr>
        <w:t>江门市</w:t>
      </w:r>
      <w:r>
        <w:rPr>
          <w:rFonts w:ascii="黑体" w:eastAsia="黑体" w:hAnsi="黑体" w:cs="Times New Roman"/>
          <w:sz w:val="24"/>
          <w:szCs w:val="24"/>
        </w:rPr>
        <w:t>数字政府</w:t>
      </w:r>
      <w:r>
        <w:rPr>
          <w:rFonts w:ascii="黑体" w:eastAsia="黑体" w:hAnsi="黑体" w:cs="Times New Roman" w:hint="eastAsia"/>
          <w:sz w:val="24"/>
          <w:szCs w:val="24"/>
        </w:rPr>
        <w:t>业务</w:t>
      </w:r>
      <w:r>
        <w:rPr>
          <w:rFonts w:ascii="黑体" w:eastAsia="黑体" w:hAnsi="黑体" w:cs="Times New Roman"/>
          <w:sz w:val="24"/>
          <w:szCs w:val="24"/>
        </w:rPr>
        <w:t>架构图</w:t>
      </w:r>
    </w:p>
    <w:p w:rsidR="00E51332" w:rsidRDefault="00B767C7">
      <w:pPr>
        <w:pStyle w:val="3"/>
        <w:numPr>
          <w:ilvl w:val="0"/>
          <w:numId w:val="0"/>
        </w:numPr>
        <w:ind w:left="643"/>
      </w:pPr>
      <w:r>
        <w:rPr>
          <w:rFonts w:hint="eastAsia"/>
        </w:rPr>
        <w:lastRenderedPageBreak/>
        <w:t>1.政府服务。</w:t>
      </w:r>
    </w:p>
    <w:p w:rsidR="00E51332" w:rsidRDefault="00B767C7">
      <w:pPr>
        <w:pStyle w:val="af"/>
      </w:pPr>
      <w:r>
        <w:rPr>
          <w:rFonts w:hint="eastAsia"/>
        </w:rPr>
        <w:t>立足企业、群众视角，以深化“放管服”改革为总体要求，通过推行“一次办成一件事”改革、政务服务“市内通办、湾区通办、跨省通办”、政务服务效能监督等措施，开展政务服务流程和方式的系统性重塑，实现政府服务普惠化、均等化、泛在化和智慧化。</w:t>
      </w:r>
    </w:p>
    <w:p w:rsidR="00E51332" w:rsidRDefault="00B767C7">
      <w:pPr>
        <w:pStyle w:val="af"/>
        <w:ind w:firstLine="643"/>
      </w:pPr>
      <w:r>
        <w:rPr>
          <w:rFonts w:hint="eastAsia"/>
          <w:b/>
          <w:bCs/>
        </w:rPr>
        <w:t>——服务优化。</w:t>
      </w:r>
      <w:r>
        <w:rPr>
          <w:rFonts w:hint="eastAsia"/>
        </w:rPr>
        <w:t>以企业和群众“一次办成一件事”为目标，集成“一件事”所涉及的政务服务事项，围绕申请条件、申报方式、受理模式、审核程序、发证方式、管理架构等进行整体性再造，实现服务一体化，打造优质高效的办事环境。</w:t>
      </w:r>
    </w:p>
    <w:p w:rsidR="00E51332" w:rsidRDefault="00B767C7">
      <w:pPr>
        <w:pStyle w:val="af"/>
        <w:ind w:firstLine="643"/>
      </w:pPr>
      <w:r>
        <w:rPr>
          <w:rFonts w:hint="eastAsia"/>
          <w:b/>
          <w:bCs/>
        </w:rPr>
        <w:t>——涉企服务。</w:t>
      </w:r>
      <w:r>
        <w:rPr>
          <w:rFonts w:hint="eastAsia"/>
        </w:rPr>
        <w:t>对标营商环境指标,大力提升企业开办、工程建设项目审批、供水供电供气一站式服务等便利度，全方位提升营商环境，打造粤港澳大湾区服务效率最高、经营成本最低的营商环境新高地，形成以一流营商环境吸引高端经济要素的新局面。</w:t>
      </w:r>
    </w:p>
    <w:p w:rsidR="00E51332" w:rsidRDefault="00B767C7">
      <w:pPr>
        <w:pStyle w:val="af"/>
        <w:ind w:firstLine="643"/>
      </w:pPr>
      <w:r>
        <w:rPr>
          <w:rFonts w:hint="eastAsia"/>
          <w:b/>
          <w:bCs/>
        </w:rPr>
        <w:t>——便民服务。</w:t>
      </w:r>
      <w:r>
        <w:rPr>
          <w:rFonts w:hint="eastAsia"/>
        </w:rPr>
        <w:t>有效发挥信息化在促进公共资源优化配置中的作用，有序推进应用成果与智慧交通、精准扶贫、文化旅游、卫生医疗、教育、养老等公共服务深度融合，提升公共服务均等化、普惠化和便捷化。</w:t>
      </w:r>
    </w:p>
    <w:p w:rsidR="00E51332" w:rsidRDefault="00B767C7">
      <w:pPr>
        <w:pStyle w:val="3"/>
        <w:numPr>
          <w:ilvl w:val="0"/>
          <w:numId w:val="0"/>
        </w:numPr>
        <w:ind w:left="643"/>
      </w:pPr>
      <w:r>
        <w:rPr>
          <w:rFonts w:hint="eastAsia"/>
        </w:rPr>
        <w:t>2.政府治理。</w:t>
      </w:r>
    </w:p>
    <w:p w:rsidR="00E51332" w:rsidRDefault="00B767C7">
      <w:pPr>
        <w:pStyle w:val="af"/>
      </w:pPr>
      <w:r>
        <w:rPr>
          <w:rFonts w:hint="eastAsia"/>
        </w:rPr>
        <w:t>围绕新形势下城市管理、综合治理、应急联动等业务发展的需求，推动相关部门社会治理业务和数据资源的有效整合和深化应用，运用网格化、移动端等载体和工具，提升协</w:t>
      </w:r>
      <w:r>
        <w:rPr>
          <w:rFonts w:hint="eastAsia"/>
        </w:rPr>
        <w:lastRenderedPageBreak/>
        <w:t>同治理的效率，打造多元共治、精准高效的社会治理新模式。</w:t>
      </w:r>
    </w:p>
    <w:p w:rsidR="00E51332" w:rsidRDefault="00B767C7">
      <w:pPr>
        <w:pStyle w:val="af"/>
        <w:ind w:firstLine="643"/>
        <w:rPr>
          <w:rFonts w:cs="Times New Roman"/>
        </w:rPr>
      </w:pPr>
      <w:r>
        <w:rPr>
          <w:rFonts w:cs="Times New Roman" w:hint="eastAsia"/>
          <w:b/>
          <w:bCs/>
        </w:rPr>
        <w:t>——“一网统管”体系。</w:t>
      </w:r>
      <w:r>
        <w:rPr>
          <w:rFonts w:cs="Times New Roman" w:hint="eastAsia"/>
        </w:rPr>
        <w:t>统筹构建“观管用结合、平急重一体”的城市运行管理体系和一体化综合网格管理体系，完善城市事件上报、处置、智能分拨平台，实现城市事件的快速响应与协同联动。集约建设应急、消防、水利、城管、住建、交通、环保、警务、市场监管、社会组织监督管理“感知一张图、管理</w:t>
      </w:r>
      <w:proofErr w:type="gramStart"/>
      <w:r>
        <w:rPr>
          <w:rFonts w:cs="Times New Roman" w:hint="eastAsia"/>
        </w:rPr>
        <w:t>一</w:t>
      </w:r>
      <w:proofErr w:type="gramEnd"/>
      <w:r>
        <w:rPr>
          <w:rFonts w:cs="Times New Roman" w:hint="eastAsia"/>
        </w:rPr>
        <w:t>张网”，实现城市运行管理“</w:t>
      </w:r>
      <w:proofErr w:type="gramStart"/>
      <w:r>
        <w:rPr>
          <w:rFonts w:cs="Times New Roman" w:hint="eastAsia"/>
        </w:rPr>
        <w:t>一屏观</w:t>
      </w:r>
      <w:proofErr w:type="gramEnd"/>
      <w:r>
        <w:rPr>
          <w:rFonts w:cs="Times New Roman" w:hint="eastAsia"/>
        </w:rPr>
        <w:t>天下、一网管全城”。推进社会治理智能化深度应用，全面提升社区安全、自治和便民服务能力。</w:t>
      </w:r>
    </w:p>
    <w:p w:rsidR="00E51332" w:rsidRDefault="00B767C7">
      <w:pPr>
        <w:pStyle w:val="af"/>
        <w:ind w:firstLine="643"/>
      </w:pPr>
      <w:r>
        <w:rPr>
          <w:rFonts w:cs="Times New Roman" w:hint="eastAsia"/>
          <w:b/>
          <w:bCs/>
        </w:rPr>
        <w:t>——一网统管行业智慧治理。</w:t>
      </w:r>
      <w:r>
        <w:rPr>
          <w:rFonts w:cs="Times New Roman" w:hint="eastAsia"/>
        </w:rPr>
        <w:t>以“一网统管”体系为核心，深度构建应急、消防、水利、城市管理、住建、交通、环保、警务、市场监管等领域的智慧</w:t>
      </w:r>
      <w:proofErr w:type="gramStart"/>
      <w:r>
        <w:rPr>
          <w:rFonts w:cs="Times New Roman" w:hint="eastAsia"/>
        </w:rPr>
        <w:t>化治理</w:t>
      </w:r>
      <w:proofErr w:type="gramEnd"/>
      <w:r>
        <w:rPr>
          <w:rFonts w:cs="Times New Roman" w:hint="eastAsia"/>
        </w:rPr>
        <w:t>模式，推动行业主管部门开展数字化转型。</w:t>
      </w:r>
    </w:p>
    <w:p w:rsidR="00E51332" w:rsidRDefault="00B767C7">
      <w:pPr>
        <w:pStyle w:val="3"/>
        <w:numPr>
          <w:ilvl w:val="0"/>
          <w:numId w:val="0"/>
        </w:numPr>
        <w:ind w:left="643"/>
      </w:pPr>
      <w:r>
        <w:rPr>
          <w:rFonts w:hint="eastAsia"/>
        </w:rPr>
        <w:t>3.政府运行。</w:t>
      </w:r>
    </w:p>
    <w:p w:rsidR="00E51332" w:rsidRDefault="00B767C7">
      <w:pPr>
        <w:pStyle w:val="af"/>
      </w:pPr>
      <w:r>
        <w:rPr>
          <w:rFonts w:hint="eastAsia"/>
        </w:rPr>
        <w:t>以一体化、大系统理念，完善全市统一协同办公平台建设部署，推动政府内部办公业务协同化发展</w:t>
      </w:r>
      <w:r>
        <w:t>。</w:t>
      </w:r>
      <w:r>
        <w:rPr>
          <w:rFonts w:hint="eastAsia"/>
        </w:rPr>
        <w:t>有效整合国民经济、社会运行等数据，通过数据挖掘分析，为市政府综合决策提供科学、全面、准确、及时的信息支撑。</w:t>
      </w:r>
    </w:p>
    <w:p w:rsidR="00E51332" w:rsidRDefault="00B767C7">
      <w:pPr>
        <w:pStyle w:val="af"/>
        <w:ind w:firstLine="643"/>
        <w:rPr>
          <w:rFonts w:cs="Times New Roman"/>
        </w:rPr>
      </w:pPr>
      <w:r>
        <w:rPr>
          <w:rFonts w:cs="Times New Roman" w:hint="eastAsia"/>
          <w:b/>
          <w:bCs/>
        </w:rPr>
        <w:t>——行政效能。</w:t>
      </w:r>
      <w:r>
        <w:rPr>
          <w:rFonts w:cs="Times New Roman" w:hint="eastAsia"/>
        </w:rPr>
        <w:t>提高政府内部办文、办会、办事的信息化水平，倒</w:t>
      </w:r>
      <w:proofErr w:type="gramStart"/>
      <w:r>
        <w:rPr>
          <w:rFonts w:cs="Times New Roman" w:hint="eastAsia"/>
        </w:rPr>
        <w:t>逼政府</w:t>
      </w:r>
      <w:proofErr w:type="gramEnd"/>
      <w:r>
        <w:rPr>
          <w:rFonts w:cs="Times New Roman" w:hint="eastAsia"/>
        </w:rPr>
        <w:t>内部业务协同流程再造，加速政府机关内部数字化进程，以数字化平台激发行政效能新活力。</w:t>
      </w:r>
    </w:p>
    <w:p w:rsidR="00E51332" w:rsidRDefault="00B767C7">
      <w:pPr>
        <w:pStyle w:val="af"/>
        <w:ind w:firstLine="643"/>
        <w:rPr>
          <w:rFonts w:cs="Times New Roman"/>
        </w:rPr>
      </w:pPr>
      <w:r>
        <w:rPr>
          <w:rFonts w:cs="Times New Roman" w:hint="eastAsia"/>
          <w:b/>
          <w:bCs/>
        </w:rPr>
        <w:t>——多方协同。</w:t>
      </w:r>
      <w:r>
        <w:rPr>
          <w:rFonts w:cs="Times New Roman" w:hint="eastAsia"/>
        </w:rPr>
        <w:t>基于数字政府的平台能力，支持各级党委、人大、政协和司法机关等机构完善信息化建设，强化新</w:t>
      </w:r>
      <w:r>
        <w:rPr>
          <w:rFonts w:cs="Times New Roman" w:hint="eastAsia"/>
        </w:rPr>
        <w:lastRenderedPageBreak/>
        <w:t>技术应用，实现与相关政府部门的高效协同。</w:t>
      </w:r>
    </w:p>
    <w:p w:rsidR="00E51332" w:rsidRDefault="00B767C7">
      <w:pPr>
        <w:pStyle w:val="af"/>
        <w:ind w:firstLine="643"/>
        <w:rPr>
          <w:rFonts w:cs="Times New Roman"/>
        </w:rPr>
      </w:pPr>
      <w:r>
        <w:rPr>
          <w:rFonts w:cs="Times New Roman" w:hint="eastAsia"/>
          <w:b/>
          <w:bCs/>
        </w:rPr>
        <w:t>——科学决策。</w:t>
      </w:r>
      <w:r>
        <w:rPr>
          <w:rFonts w:cs="Times New Roman" w:hint="eastAsia"/>
        </w:rPr>
        <w:t>建立以大数据为支撑的政府决策机制，依托“互联网+”和大数据技术，通过新建、优化、整合、共享、链接等途径，研发数字政府分析决策模型体系，提高决策的科学性、准确性。</w:t>
      </w:r>
    </w:p>
    <w:p w:rsidR="00E51332" w:rsidRDefault="00B767C7">
      <w:pPr>
        <w:pStyle w:val="2"/>
        <w:spacing w:before="156" w:after="156"/>
        <w:ind w:firstLine="640"/>
      </w:pPr>
      <w:bookmarkStart w:id="64" w:name="_Toc57725763"/>
      <w:bookmarkStart w:id="65" w:name="_Toc66093952"/>
      <w:bookmarkStart w:id="66" w:name="_Toc64903390"/>
      <w:r>
        <w:rPr>
          <w:rFonts w:hint="eastAsia"/>
        </w:rPr>
        <w:t>技术架构</w:t>
      </w:r>
      <w:bookmarkEnd w:id="64"/>
      <w:r>
        <w:rPr>
          <w:rFonts w:hint="eastAsia"/>
        </w:rPr>
        <w:t>。</w:t>
      </w:r>
      <w:bookmarkEnd w:id="65"/>
      <w:bookmarkEnd w:id="66"/>
    </w:p>
    <w:p w:rsidR="00E51332" w:rsidRDefault="00B767C7">
      <w:pPr>
        <w:ind w:firstLine="640"/>
      </w:pPr>
      <w:r>
        <w:rPr>
          <w:rFonts w:hint="eastAsia"/>
        </w:rPr>
        <w:t>一体化的技术架构是数字政府改革建设的坚实“底座”，按照分层设计的原则，技术架构分为“四横三纵”，体现了</w:t>
      </w:r>
      <w:r>
        <w:rPr>
          <w:rFonts w:hint="eastAsia"/>
        </w:rPr>
        <w:t>IT</w:t>
      </w:r>
      <w:r>
        <w:rPr>
          <w:rFonts w:hint="eastAsia"/>
        </w:rPr>
        <w:t>（信息技术）、</w:t>
      </w:r>
      <w:r>
        <w:rPr>
          <w:rFonts w:hint="eastAsia"/>
        </w:rPr>
        <w:t>CT</w:t>
      </w:r>
      <w:r>
        <w:rPr>
          <w:rFonts w:hint="eastAsia"/>
        </w:rPr>
        <w:t>（通信技术）、</w:t>
      </w:r>
      <w:r>
        <w:rPr>
          <w:rFonts w:hint="eastAsia"/>
        </w:rPr>
        <w:t>DT</w:t>
      </w:r>
      <w:r>
        <w:rPr>
          <w:rFonts w:hint="eastAsia"/>
        </w:rPr>
        <w:t>（数据技术）的融合。其中，“四横”分别是应用层、应用支撑层、数据层、基础设施层，“三纵”分别是安全、标准和运行管理。</w:t>
      </w:r>
    </w:p>
    <w:p w:rsidR="00E51332" w:rsidRDefault="00B767C7">
      <w:pPr>
        <w:spacing w:line="360" w:lineRule="auto"/>
        <w:ind w:firstLineChars="0" w:firstLine="0"/>
      </w:pPr>
      <w:r>
        <w:rPr>
          <w:noProof/>
        </w:rPr>
        <w:drawing>
          <wp:inline distT="0" distB="0" distL="0" distR="0" wp14:anchorId="6163405B" wp14:editId="37A8D1BA">
            <wp:extent cx="5274310" cy="3239135"/>
            <wp:effectExtent l="0" t="0" r="2540" b="0"/>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a:xfrm>
                      <a:off x="0" y="0"/>
                      <a:ext cx="5274310" cy="3239135"/>
                    </a:xfrm>
                    <a:prstGeom prst="rect">
                      <a:avLst/>
                    </a:prstGeom>
                    <a:noFill/>
                    <a:ln>
                      <a:noFill/>
                    </a:ln>
                  </pic:spPr>
                </pic:pic>
              </a:graphicData>
            </a:graphic>
          </wp:inline>
        </w:drawing>
      </w:r>
    </w:p>
    <w:p w:rsidR="00E51332" w:rsidRDefault="00B767C7">
      <w:pPr>
        <w:spacing w:line="240" w:lineRule="auto"/>
        <w:ind w:firstLineChars="0" w:firstLine="0"/>
        <w:jc w:val="center"/>
        <w:rPr>
          <w:rFonts w:ascii="黑体" w:eastAsia="黑体" w:hAnsi="黑体" w:cs="Times New Roman"/>
          <w:sz w:val="24"/>
          <w:szCs w:val="24"/>
        </w:rPr>
      </w:pPr>
      <w:r>
        <w:rPr>
          <w:rFonts w:ascii="黑体" w:eastAsia="黑体" w:hAnsi="黑体" w:cs="Times New Roman"/>
          <w:sz w:val="24"/>
          <w:szCs w:val="24"/>
        </w:rPr>
        <w:t xml:space="preserve">图 </w:t>
      </w:r>
      <w:r>
        <w:rPr>
          <w:rFonts w:ascii="黑体" w:eastAsia="黑体" w:hAnsi="黑体" w:cs="Times New Roman"/>
          <w:sz w:val="24"/>
          <w:szCs w:val="24"/>
        </w:rPr>
        <w:fldChar w:fldCharType="begin"/>
      </w:r>
      <w:r>
        <w:rPr>
          <w:rFonts w:ascii="黑体" w:eastAsia="黑体" w:hAnsi="黑体" w:cs="Times New Roman"/>
          <w:sz w:val="24"/>
          <w:szCs w:val="24"/>
        </w:rPr>
        <w:instrText xml:space="preserve"> SEQ 图 \* ARABIC </w:instrText>
      </w:r>
      <w:r>
        <w:rPr>
          <w:rFonts w:ascii="黑体" w:eastAsia="黑体" w:hAnsi="黑体" w:cs="Times New Roman"/>
          <w:sz w:val="24"/>
          <w:szCs w:val="24"/>
        </w:rPr>
        <w:fldChar w:fldCharType="separate"/>
      </w:r>
      <w:r>
        <w:rPr>
          <w:rFonts w:ascii="黑体" w:eastAsia="黑体" w:hAnsi="黑体" w:cs="Times New Roman"/>
          <w:sz w:val="24"/>
          <w:szCs w:val="24"/>
        </w:rPr>
        <w:t>3</w:t>
      </w:r>
      <w:r>
        <w:rPr>
          <w:rFonts w:ascii="黑体" w:eastAsia="黑体" w:hAnsi="黑体" w:cs="Times New Roman"/>
          <w:sz w:val="24"/>
          <w:szCs w:val="24"/>
        </w:rPr>
        <w:fldChar w:fldCharType="end"/>
      </w:r>
      <w:r>
        <w:rPr>
          <w:rFonts w:ascii="黑体" w:eastAsia="黑体" w:hAnsi="黑体" w:cs="Times New Roman"/>
          <w:sz w:val="24"/>
          <w:szCs w:val="24"/>
        </w:rPr>
        <w:t xml:space="preserve"> </w:t>
      </w:r>
      <w:r>
        <w:rPr>
          <w:rFonts w:ascii="黑体" w:eastAsia="黑体" w:hAnsi="黑体" w:cs="Times New Roman" w:hint="eastAsia"/>
          <w:sz w:val="24"/>
          <w:szCs w:val="24"/>
        </w:rPr>
        <w:t>江门市</w:t>
      </w:r>
      <w:r>
        <w:rPr>
          <w:rFonts w:ascii="黑体" w:eastAsia="黑体" w:hAnsi="黑体" w:cs="Times New Roman"/>
          <w:sz w:val="24"/>
          <w:szCs w:val="24"/>
        </w:rPr>
        <w:t>数字政府</w:t>
      </w:r>
      <w:r>
        <w:rPr>
          <w:rFonts w:ascii="黑体" w:eastAsia="黑体" w:hAnsi="黑体" w:cs="Times New Roman" w:hint="eastAsia"/>
          <w:sz w:val="24"/>
          <w:szCs w:val="24"/>
        </w:rPr>
        <w:t>技术</w:t>
      </w:r>
      <w:r>
        <w:rPr>
          <w:rFonts w:ascii="黑体" w:eastAsia="黑体" w:hAnsi="黑体" w:cs="Times New Roman"/>
          <w:sz w:val="24"/>
          <w:szCs w:val="24"/>
        </w:rPr>
        <w:t>架构图</w:t>
      </w:r>
    </w:p>
    <w:p w:rsidR="00E51332" w:rsidRDefault="00B767C7">
      <w:pPr>
        <w:pStyle w:val="3"/>
        <w:numPr>
          <w:ilvl w:val="0"/>
          <w:numId w:val="0"/>
        </w:numPr>
        <w:ind w:left="643"/>
      </w:pPr>
      <w:r>
        <w:lastRenderedPageBreak/>
        <w:t>1.用户交互。</w:t>
      </w:r>
    </w:p>
    <w:p w:rsidR="00E51332" w:rsidRDefault="00B767C7">
      <w:pPr>
        <w:pStyle w:val="af0"/>
        <w:ind w:firstLine="643"/>
        <w:rPr>
          <w:rFonts w:ascii="Times New Roman" w:hAnsi="Times New Roman"/>
        </w:rPr>
      </w:pPr>
      <w:r>
        <w:rPr>
          <w:rFonts w:ascii="Times New Roman" w:hAnsi="Times New Roman"/>
        </w:rPr>
        <w:t>提供</w:t>
      </w:r>
      <w:r>
        <w:rPr>
          <w:rFonts w:hAnsi="Times New Roman" w:hint="eastAsia"/>
        </w:rPr>
        <w:t>面向群众和企业的统一、便捷、高效的各类服务应用，包括政务服务网、“粤省事”“粤商通”“江门易办事”及终端应</w:t>
      </w:r>
      <w:r>
        <w:rPr>
          <w:rFonts w:ascii="Times New Roman" w:hAnsi="Times New Roman"/>
        </w:rPr>
        <w:t>用等，提升用户交互能力，增强用户获得感。</w:t>
      </w:r>
    </w:p>
    <w:p w:rsidR="00E51332" w:rsidRDefault="00B767C7">
      <w:pPr>
        <w:pStyle w:val="3"/>
        <w:numPr>
          <w:ilvl w:val="0"/>
          <w:numId w:val="0"/>
        </w:numPr>
        <w:ind w:left="643"/>
      </w:pPr>
      <w:r>
        <w:t>2.业务应用。</w:t>
      </w:r>
    </w:p>
    <w:p w:rsidR="00E51332" w:rsidRDefault="00B767C7">
      <w:pPr>
        <w:pStyle w:val="af0"/>
        <w:ind w:firstLine="643"/>
      </w:pPr>
      <w:r>
        <w:t>提供面向政府部</w:t>
      </w:r>
      <w:r>
        <w:rPr>
          <w:rFonts w:hint="eastAsia"/>
        </w:rPr>
        <w:t>门的高效、协同、整体的管理应用，包括政务服务应用、营商环境应用、公共服务应用、社会治理应用、生态环境应用等专业应用，以及智慧城市指挥中心和“粤”系列应用等，提升政府治理能力和行政效能</w:t>
      </w:r>
      <w:r>
        <w:t>水平。</w:t>
      </w:r>
    </w:p>
    <w:p w:rsidR="00E51332" w:rsidRDefault="00B767C7">
      <w:pPr>
        <w:pStyle w:val="3"/>
        <w:numPr>
          <w:ilvl w:val="0"/>
          <w:numId w:val="0"/>
        </w:numPr>
        <w:ind w:left="643"/>
      </w:pPr>
      <w:r>
        <w:t>3.应用</w:t>
      </w:r>
      <w:r>
        <w:rPr>
          <w:rFonts w:hint="eastAsia"/>
        </w:rPr>
        <w:t>中台</w:t>
      </w:r>
      <w:r>
        <w:t>。</w:t>
      </w:r>
    </w:p>
    <w:p w:rsidR="00E51332" w:rsidRDefault="00B767C7">
      <w:pPr>
        <w:pStyle w:val="af0"/>
        <w:ind w:firstLine="643"/>
      </w:pPr>
      <w:r>
        <w:rPr>
          <w:rFonts w:hint="eastAsia"/>
        </w:rPr>
        <w:t>依托</w:t>
      </w:r>
      <w:proofErr w:type="gramStart"/>
      <w:r>
        <w:t>省数字</w:t>
      </w:r>
      <w:proofErr w:type="gramEnd"/>
      <w:r>
        <w:t>政府公共支撑平台，为各部门政务应用提供共性技术能力支撑，确保信息化建设的整体化，开放服务支撑、授权服务支撑、移动应用支撑、加密解密支撑、传输交换支撑、任务调度支撑、第三方接入支撑、AI服务支撑、地理信息服务支撑、认证服务支撑、</w:t>
      </w:r>
      <w:proofErr w:type="gramStart"/>
      <w:r>
        <w:t>云应用</w:t>
      </w:r>
      <w:proofErr w:type="gramEnd"/>
      <w:r>
        <w:t>支撑等通用组件。</w:t>
      </w:r>
    </w:p>
    <w:p w:rsidR="00E51332" w:rsidRDefault="00B767C7">
      <w:pPr>
        <w:pStyle w:val="3"/>
        <w:numPr>
          <w:ilvl w:val="0"/>
          <w:numId w:val="0"/>
        </w:numPr>
        <w:ind w:left="643"/>
      </w:pPr>
      <w:r>
        <w:t>4.数据</w:t>
      </w:r>
      <w:r>
        <w:rPr>
          <w:rFonts w:hint="eastAsia"/>
        </w:rPr>
        <w:t>中台</w:t>
      </w:r>
      <w:r>
        <w:t>。</w:t>
      </w:r>
    </w:p>
    <w:p w:rsidR="00E51332" w:rsidRDefault="00B767C7">
      <w:pPr>
        <w:pStyle w:val="af0"/>
        <w:ind w:firstLine="643"/>
      </w:pPr>
      <w:r>
        <w:t>基于政务大数据中心江门</w:t>
      </w:r>
      <w:r>
        <w:rPr>
          <w:rFonts w:hint="eastAsia"/>
        </w:rPr>
        <w:t>节点，</w:t>
      </w:r>
      <w:proofErr w:type="gramStart"/>
      <w:r>
        <w:rPr>
          <w:rFonts w:hint="eastAsia"/>
        </w:rPr>
        <w:t>构建全市</w:t>
      </w:r>
      <w:proofErr w:type="gramEnd"/>
      <w:r>
        <w:rPr>
          <w:rFonts w:hint="eastAsia"/>
        </w:rPr>
        <w:t>共建共享的大数据资源体系，建设江门市“城市大脑”，逐步消灭全市各类“信息孤岛”，</w:t>
      </w:r>
      <w:r>
        <w:t>为各地各部门政务应用提供数据服务支撑。</w:t>
      </w:r>
    </w:p>
    <w:p w:rsidR="00E51332" w:rsidRDefault="00B767C7">
      <w:pPr>
        <w:pStyle w:val="3"/>
        <w:numPr>
          <w:ilvl w:val="0"/>
          <w:numId w:val="0"/>
        </w:numPr>
        <w:ind w:left="643"/>
      </w:pPr>
      <w:r>
        <w:t>5.基础设施。</w:t>
      </w:r>
    </w:p>
    <w:p w:rsidR="00E51332" w:rsidRDefault="00B767C7">
      <w:pPr>
        <w:pStyle w:val="af0"/>
        <w:ind w:firstLine="643"/>
      </w:pPr>
      <w:r>
        <w:t>在充分利用现有资</w:t>
      </w:r>
      <w:r>
        <w:rPr>
          <w:rFonts w:hint="eastAsia"/>
        </w:rPr>
        <w:t>源的基础上，按照省“</w:t>
      </w:r>
      <w:r>
        <w:t>1+N+M</w:t>
      </w:r>
      <w:r>
        <w:rPr>
          <w:rFonts w:hint="eastAsia"/>
        </w:rPr>
        <w:t>”总体架构要求，扩容完善全市统一政务云、政务外网和安全体系，</w:t>
      </w:r>
      <w:r>
        <w:rPr>
          <w:rFonts w:hint="eastAsia"/>
        </w:rPr>
        <w:lastRenderedPageBreak/>
        <w:t>为全市政务信息化建设提供一个弹性、</w:t>
      </w:r>
      <w:r>
        <w:t>稳定、集约、可靠的底层环境。</w:t>
      </w:r>
    </w:p>
    <w:p w:rsidR="00E51332" w:rsidRDefault="00B767C7">
      <w:pPr>
        <w:pStyle w:val="3"/>
        <w:numPr>
          <w:ilvl w:val="0"/>
          <w:numId w:val="0"/>
        </w:numPr>
        <w:ind w:left="643"/>
      </w:pPr>
      <w:r>
        <w:t>6.</w:t>
      </w:r>
      <w:r>
        <w:rPr>
          <w:rFonts w:hint="eastAsia"/>
        </w:rPr>
        <w:t>一体化</w:t>
      </w:r>
      <w:r>
        <w:t>安全保障。</w:t>
      </w:r>
    </w:p>
    <w:p w:rsidR="00E51332" w:rsidRDefault="00B767C7">
      <w:pPr>
        <w:pStyle w:val="af0"/>
        <w:ind w:firstLine="643"/>
      </w:pPr>
      <w:r>
        <w:t>构建统筹、集约、动态、科学、可控的全方位、多层次、一致性数字政府安全防护体系</w:t>
      </w:r>
      <w:r>
        <w:rPr>
          <w:rFonts w:hint="eastAsia"/>
        </w:rPr>
        <w:t>。</w:t>
      </w:r>
      <w:r>
        <w:t>按照《信息安全技术网络安全等级保护基本要求》（GB/T22239-2019）第三级安全要求标准，对政务网络、业务信息系统、政务服务数据进行安全等级保护，保障数字政府改革</w:t>
      </w:r>
      <w:proofErr w:type="gramStart"/>
      <w:r>
        <w:t>建设平稳</w:t>
      </w:r>
      <w:proofErr w:type="gramEnd"/>
      <w:r>
        <w:t>高效的运行。</w:t>
      </w:r>
    </w:p>
    <w:p w:rsidR="00E51332" w:rsidRDefault="00B767C7">
      <w:pPr>
        <w:pStyle w:val="3"/>
        <w:numPr>
          <w:ilvl w:val="0"/>
          <w:numId w:val="0"/>
        </w:numPr>
        <w:ind w:left="643"/>
      </w:pPr>
      <w:r>
        <w:t>7.</w:t>
      </w:r>
      <w:r>
        <w:rPr>
          <w:rFonts w:hint="eastAsia"/>
        </w:rPr>
        <w:t>一体化</w:t>
      </w:r>
      <w:r>
        <w:t>标准规范。</w:t>
      </w:r>
    </w:p>
    <w:p w:rsidR="00E51332" w:rsidRDefault="00B767C7">
      <w:pPr>
        <w:pStyle w:val="af0"/>
        <w:ind w:firstLine="643"/>
      </w:pPr>
      <w:r>
        <w:t>参照国家、省政务信息化建设的相关标准体系，在</w:t>
      </w:r>
      <w:proofErr w:type="gramStart"/>
      <w:r>
        <w:t>省数字</w:t>
      </w:r>
      <w:proofErr w:type="gramEnd"/>
      <w:r>
        <w:t>政府标准规范体系下，</w:t>
      </w:r>
      <w:r>
        <w:rPr>
          <w:rFonts w:hint="eastAsia"/>
        </w:rPr>
        <w:t>以“应用导向、整体一致、适用实用”为原则</w:t>
      </w:r>
      <w:r>
        <w:t>，</w:t>
      </w:r>
      <w:r>
        <w:rPr>
          <w:rFonts w:hint="eastAsia"/>
        </w:rPr>
        <w:t>在</w:t>
      </w:r>
      <w:r>
        <w:t>江门市</w:t>
      </w:r>
      <w:r>
        <w:rPr>
          <w:rFonts w:hint="eastAsia"/>
        </w:rPr>
        <w:t>建立、实施数字政府统一的管理、业务、技术标准规范。</w:t>
      </w:r>
    </w:p>
    <w:p w:rsidR="00E51332" w:rsidRDefault="00B767C7">
      <w:pPr>
        <w:pStyle w:val="3"/>
        <w:numPr>
          <w:ilvl w:val="0"/>
          <w:numId w:val="0"/>
        </w:numPr>
        <w:ind w:left="643"/>
      </w:pPr>
      <w:r>
        <w:t>8.</w:t>
      </w:r>
      <w:r>
        <w:rPr>
          <w:rFonts w:hint="eastAsia"/>
        </w:rPr>
        <w:t>一体化</w:t>
      </w:r>
      <w:r>
        <w:t>运行管理。</w:t>
      </w:r>
    </w:p>
    <w:p w:rsidR="00E51332" w:rsidRDefault="00B767C7">
      <w:pPr>
        <w:pStyle w:val="af0"/>
        <w:ind w:firstLine="643"/>
      </w:pPr>
      <w:r>
        <w:rPr>
          <w:rFonts w:hint="eastAsia"/>
        </w:rPr>
        <w:t>对</w:t>
      </w:r>
      <w:r>
        <w:t>应用系统、基础设施、数据资源等方面的运营、运维和管理，包括对技术架构各个层次系统的运行维护，业务运营、质量管理等工作。</w:t>
      </w:r>
    </w:p>
    <w:p w:rsidR="00E51332" w:rsidRDefault="00B767C7">
      <w:pPr>
        <w:pStyle w:val="2"/>
        <w:spacing w:before="156" w:after="156"/>
        <w:ind w:firstLine="640"/>
      </w:pPr>
      <w:bookmarkStart w:id="67" w:name="_Toc66093953"/>
      <w:bookmarkStart w:id="68" w:name="_Toc64903391"/>
      <w:r>
        <w:rPr>
          <w:rFonts w:hint="eastAsia"/>
        </w:rPr>
        <w:t>数据架构。</w:t>
      </w:r>
      <w:bookmarkEnd w:id="67"/>
      <w:bookmarkEnd w:id="68"/>
    </w:p>
    <w:p w:rsidR="00E51332" w:rsidRDefault="00B767C7">
      <w:pPr>
        <w:spacing w:line="360" w:lineRule="auto"/>
        <w:ind w:firstLine="640"/>
      </w:pPr>
      <w:r>
        <w:rPr>
          <w:rFonts w:hint="eastAsia"/>
        </w:rPr>
        <w:t>以共建共治共用为原则，以应用和需求为导向，构建</w:t>
      </w:r>
      <w:proofErr w:type="gramStart"/>
      <w:r>
        <w:rPr>
          <w:rFonts w:hint="eastAsia"/>
        </w:rPr>
        <w:t>上联国省</w:t>
      </w:r>
      <w:proofErr w:type="gramEnd"/>
      <w:r>
        <w:rPr>
          <w:rFonts w:hint="eastAsia"/>
        </w:rPr>
        <w:t>、下通市</w:t>
      </w:r>
      <w:r w:rsidR="00E340FA">
        <w:rPr>
          <w:rFonts w:hint="eastAsia"/>
        </w:rPr>
        <w:t>区</w:t>
      </w:r>
      <w:r>
        <w:rPr>
          <w:rFonts w:hint="eastAsia"/>
        </w:rPr>
        <w:t>的一体化、服务化的数据架构，全面提升各级政府部门的数据管理和应用能力，实现数据全生命周期治理和全方位赋能，加速释放数据要素的乘数效应，为数字</w:t>
      </w:r>
      <w:r>
        <w:rPr>
          <w:rFonts w:hint="eastAsia"/>
        </w:rPr>
        <w:lastRenderedPageBreak/>
        <w:t>政府改革建设提供充沛动能。</w:t>
      </w:r>
    </w:p>
    <w:p w:rsidR="00E51332" w:rsidRDefault="00B767C7">
      <w:pPr>
        <w:spacing w:line="360" w:lineRule="auto"/>
        <w:ind w:firstLineChars="0" w:firstLine="0"/>
      </w:pPr>
      <w:r>
        <w:rPr>
          <w:noProof/>
        </w:rPr>
        <w:drawing>
          <wp:inline distT="0" distB="0" distL="0" distR="0" wp14:anchorId="14F41195" wp14:editId="72534C0E">
            <wp:extent cx="5274310" cy="3148965"/>
            <wp:effectExtent l="0" t="0" r="2540" b="0"/>
            <wp:docPr id="5"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1"/>
                    <pic:cNvPicPr>
                      <a:picLocks noChangeAspect="1"/>
                    </pic:cNvPicPr>
                  </pic:nvPicPr>
                  <pic:blipFill>
                    <a:blip r:embed="rId21"/>
                    <a:stretch>
                      <a:fillRect/>
                    </a:stretch>
                  </pic:blipFill>
                  <pic:spPr>
                    <a:xfrm>
                      <a:off x="0" y="0"/>
                      <a:ext cx="5274310" cy="3148965"/>
                    </a:xfrm>
                    <a:prstGeom prst="rect">
                      <a:avLst/>
                    </a:prstGeom>
                  </pic:spPr>
                </pic:pic>
              </a:graphicData>
            </a:graphic>
          </wp:inline>
        </w:drawing>
      </w:r>
    </w:p>
    <w:p w:rsidR="00E51332" w:rsidRDefault="00B767C7">
      <w:pPr>
        <w:pStyle w:val="a3"/>
        <w:spacing w:line="560" w:lineRule="exact"/>
        <w:ind w:firstLineChars="0" w:firstLine="0"/>
        <w:jc w:val="center"/>
        <w:rPr>
          <w:rFonts w:ascii="黑体" w:hAnsi="黑体"/>
          <w:sz w:val="24"/>
          <w:szCs w:val="24"/>
        </w:rPr>
      </w:pPr>
      <w:r>
        <w:rPr>
          <w:rFonts w:ascii="黑体" w:hAnsi="黑体" w:cs="Times New Roman" w:hint="eastAsia"/>
          <w:sz w:val="24"/>
          <w:szCs w:val="24"/>
        </w:rPr>
        <w:t xml:space="preserve">图 </w:t>
      </w:r>
      <w:r>
        <w:rPr>
          <w:rFonts w:ascii="黑体" w:hAnsi="黑体" w:cs="Times New Roman" w:hint="eastAsia"/>
          <w:sz w:val="24"/>
          <w:szCs w:val="24"/>
        </w:rPr>
        <w:fldChar w:fldCharType="begin"/>
      </w:r>
      <w:r>
        <w:rPr>
          <w:rFonts w:ascii="黑体" w:hAnsi="黑体" w:cs="Times New Roman" w:hint="eastAsia"/>
          <w:sz w:val="24"/>
          <w:szCs w:val="24"/>
        </w:rPr>
        <w:instrText xml:space="preserve"> SEQ 图 \* ARABIC </w:instrText>
      </w:r>
      <w:r>
        <w:rPr>
          <w:rFonts w:ascii="黑体" w:hAnsi="黑体" w:cs="Times New Roman" w:hint="eastAsia"/>
          <w:sz w:val="24"/>
          <w:szCs w:val="24"/>
        </w:rPr>
        <w:fldChar w:fldCharType="separate"/>
      </w:r>
      <w:r>
        <w:rPr>
          <w:rFonts w:ascii="黑体" w:hAnsi="黑体" w:cs="Times New Roman" w:hint="eastAsia"/>
          <w:sz w:val="24"/>
          <w:szCs w:val="24"/>
        </w:rPr>
        <w:t>4</w:t>
      </w:r>
      <w:r>
        <w:rPr>
          <w:rFonts w:ascii="黑体" w:hAnsi="黑体" w:cs="Times New Roman" w:hint="eastAsia"/>
          <w:sz w:val="24"/>
          <w:szCs w:val="24"/>
        </w:rPr>
        <w:fldChar w:fldCharType="end"/>
      </w:r>
      <w:r>
        <w:rPr>
          <w:rFonts w:ascii="黑体" w:hAnsi="黑体" w:cs="Times New Roman" w:hint="eastAsia"/>
          <w:sz w:val="24"/>
          <w:szCs w:val="24"/>
        </w:rPr>
        <w:t xml:space="preserve"> 江门市数字政府数据架构图</w:t>
      </w:r>
    </w:p>
    <w:p w:rsidR="00E51332" w:rsidRDefault="00B767C7">
      <w:pPr>
        <w:pStyle w:val="3"/>
        <w:numPr>
          <w:ilvl w:val="0"/>
          <w:numId w:val="0"/>
        </w:numPr>
        <w:ind w:left="643"/>
      </w:pPr>
      <w:r>
        <w:rPr>
          <w:rFonts w:hint="eastAsia"/>
        </w:rPr>
        <w:t>1</w:t>
      </w:r>
      <w:r>
        <w:t>.</w:t>
      </w:r>
      <w:r>
        <w:rPr>
          <w:rFonts w:hint="eastAsia"/>
        </w:rPr>
        <w:t>数据源。</w:t>
      </w:r>
    </w:p>
    <w:p w:rsidR="00E51332" w:rsidRDefault="00B767C7">
      <w:pPr>
        <w:pStyle w:val="af"/>
        <w:spacing w:line="360" w:lineRule="auto"/>
        <w:rPr>
          <w:rFonts w:ascii="Times New Roman" w:hAnsi="Times New Roman"/>
        </w:rPr>
      </w:pPr>
      <w:r>
        <w:rPr>
          <w:rFonts w:ascii="Times New Roman" w:hAnsi="Times New Roman" w:hint="eastAsia"/>
        </w:rPr>
        <w:t>数据源包括各级政府部门在履职过程中产生的业务数据、视频图像、</w:t>
      </w:r>
      <w:proofErr w:type="gramStart"/>
      <w:r>
        <w:rPr>
          <w:rFonts w:ascii="Times New Roman" w:hAnsi="Times New Roman" w:hint="eastAsia"/>
        </w:rPr>
        <w:t>物联感知</w:t>
      </w:r>
      <w:proofErr w:type="gramEnd"/>
      <w:r>
        <w:rPr>
          <w:rFonts w:ascii="Times New Roman" w:hAnsi="Times New Roman" w:hint="eastAsia"/>
        </w:rPr>
        <w:t>等各类政务数据资源，以及社会数据资源，按照不同业务属性形成业务库和共享库。其中，业务库是各级部门采集、生产的各类业务数据资源集合；共享库是为满足跨部门的业务协同，</w:t>
      </w:r>
      <w:proofErr w:type="gramStart"/>
      <w:r>
        <w:rPr>
          <w:rFonts w:ascii="Times New Roman" w:hAnsi="Times New Roman" w:hint="eastAsia"/>
        </w:rPr>
        <w:t>基于部门</w:t>
      </w:r>
      <w:proofErr w:type="gramEnd"/>
      <w:r>
        <w:rPr>
          <w:rFonts w:ascii="Times New Roman" w:hAnsi="Times New Roman" w:hint="eastAsia"/>
        </w:rPr>
        <w:t>业务库，建立的可共享、可交换的部门业务数据资源集合</w:t>
      </w:r>
      <w:r>
        <w:rPr>
          <w:rFonts w:ascii="Times New Roman" w:hAnsi="Times New Roman"/>
        </w:rPr>
        <w:t>。</w:t>
      </w:r>
    </w:p>
    <w:p w:rsidR="00E51332" w:rsidRDefault="00B767C7">
      <w:pPr>
        <w:pStyle w:val="3"/>
        <w:numPr>
          <w:ilvl w:val="0"/>
          <w:numId w:val="0"/>
        </w:numPr>
        <w:ind w:left="643"/>
      </w:pPr>
      <w:r>
        <w:rPr>
          <w:rFonts w:hint="eastAsia"/>
        </w:rPr>
        <w:t>2</w:t>
      </w:r>
      <w:r>
        <w:t>.</w:t>
      </w:r>
      <w:r>
        <w:rPr>
          <w:rFonts w:hint="eastAsia"/>
        </w:rPr>
        <w:t>数据汇聚。</w:t>
      </w:r>
    </w:p>
    <w:p w:rsidR="00E51332" w:rsidRDefault="00B767C7">
      <w:pPr>
        <w:pStyle w:val="af"/>
        <w:spacing w:line="360" w:lineRule="auto"/>
        <w:rPr>
          <w:rFonts w:ascii="Times New Roman" w:hAnsi="Times New Roman"/>
        </w:rPr>
      </w:pPr>
      <w:r>
        <w:rPr>
          <w:rFonts w:ascii="Times New Roman" w:hAnsi="Times New Roman" w:hint="eastAsia"/>
        </w:rPr>
        <w:t>依托一体化政务大数据中心共享交换支撑能力，打造省、市两级各类数据资源汇聚通道，推动各级政府部门数据资源向省一体化政务大数据中心汇聚，形成省市两级逻辑集中的高质量数据资源。</w:t>
      </w:r>
    </w:p>
    <w:p w:rsidR="00E51332" w:rsidRDefault="00B767C7">
      <w:pPr>
        <w:pStyle w:val="3"/>
        <w:numPr>
          <w:ilvl w:val="0"/>
          <w:numId w:val="0"/>
        </w:numPr>
        <w:ind w:left="643"/>
      </w:pPr>
      <w:r>
        <w:rPr>
          <w:rFonts w:hint="eastAsia"/>
        </w:rPr>
        <w:lastRenderedPageBreak/>
        <w:t>3</w:t>
      </w:r>
      <w:r>
        <w:t>.</w:t>
      </w:r>
      <w:r>
        <w:rPr>
          <w:rFonts w:hint="eastAsia"/>
        </w:rPr>
        <w:t>数据资源。</w:t>
      </w:r>
    </w:p>
    <w:p w:rsidR="00E51332" w:rsidRDefault="00B767C7">
      <w:pPr>
        <w:pStyle w:val="af"/>
        <w:spacing w:line="360" w:lineRule="auto"/>
        <w:rPr>
          <w:rFonts w:ascii="Times New Roman" w:hAnsi="Times New Roman"/>
        </w:rPr>
      </w:pPr>
      <w:r>
        <w:rPr>
          <w:rFonts w:ascii="Times New Roman" w:hAnsi="Times New Roman" w:hint="eastAsia"/>
        </w:rPr>
        <w:t>数据资源池包含基础库、主题库和专题库。</w:t>
      </w:r>
      <w:proofErr w:type="gramStart"/>
      <w:r>
        <w:rPr>
          <w:rFonts w:ascii="Times New Roman" w:hAnsi="Times New Roman" w:hint="eastAsia"/>
        </w:rPr>
        <w:t>基础库指围绕</w:t>
      </w:r>
      <w:proofErr w:type="gramEnd"/>
      <w:r>
        <w:rPr>
          <w:rFonts w:ascii="Times New Roman" w:hAnsi="Times New Roman" w:hint="eastAsia"/>
        </w:rPr>
        <w:t>某一公共主题领域，汇聚相关实体的基础信息，形成的基础数据集合，包括自然人基础信息库、法人单位基础信息库、空间地理基础信息库、社会信用库和电子证照库等五大基础库。主题库指围绕某一主题对象，汇聚逻辑相关的数据资源，由行业主体部门牵头建设，包括车辆、房屋、地址等系列主题库。</w:t>
      </w:r>
      <w:proofErr w:type="gramStart"/>
      <w:r>
        <w:rPr>
          <w:rFonts w:ascii="Times New Roman" w:hAnsi="Times New Roman" w:hint="eastAsia"/>
        </w:rPr>
        <w:t>专题库指基于</w:t>
      </w:r>
      <w:proofErr w:type="gramEnd"/>
      <w:r>
        <w:rPr>
          <w:rFonts w:ascii="Times New Roman" w:hAnsi="Times New Roman" w:hint="eastAsia"/>
        </w:rPr>
        <w:t>基础库、主题库和各部门业务数据，围绕特定业务需求和专项工作要求，形成的以公共业务为主线、满足专项工作要求且逻辑相关的数据资源集合。</w:t>
      </w:r>
    </w:p>
    <w:p w:rsidR="00E51332" w:rsidRDefault="00B767C7">
      <w:pPr>
        <w:pStyle w:val="3"/>
        <w:numPr>
          <w:ilvl w:val="0"/>
          <w:numId w:val="0"/>
        </w:numPr>
        <w:ind w:left="643"/>
      </w:pPr>
      <w:r>
        <w:t>4.</w:t>
      </w:r>
      <w:r>
        <w:rPr>
          <w:rFonts w:hint="eastAsia"/>
        </w:rPr>
        <w:t>支撑能力。</w:t>
      </w:r>
    </w:p>
    <w:p w:rsidR="00E51332" w:rsidRDefault="00B767C7">
      <w:pPr>
        <w:pStyle w:val="af"/>
        <w:spacing w:line="360" w:lineRule="auto"/>
        <w:rPr>
          <w:rFonts w:ascii="Times New Roman" w:hAnsi="Times New Roman"/>
        </w:rPr>
      </w:pPr>
      <w:r>
        <w:rPr>
          <w:rFonts w:ascii="Times New Roman" w:hAnsi="Times New Roman" w:hint="eastAsia"/>
        </w:rPr>
        <w:t>一体化政务大数据中心江门节点为全市各级各部门提供统一的数据支撑能力，包括数据共享、数据治理、数据管理、数据分析、数据开放等支撑能力。</w:t>
      </w:r>
    </w:p>
    <w:p w:rsidR="00E51332" w:rsidRDefault="00B767C7">
      <w:pPr>
        <w:pStyle w:val="3"/>
        <w:numPr>
          <w:ilvl w:val="0"/>
          <w:numId w:val="0"/>
        </w:numPr>
        <w:ind w:left="643"/>
      </w:pPr>
      <w:r>
        <w:rPr>
          <w:rFonts w:hint="eastAsia"/>
        </w:rPr>
        <w:t>5</w:t>
      </w:r>
      <w:r>
        <w:t>.</w:t>
      </w:r>
      <w:r>
        <w:rPr>
          <w:rFonts w:hint="eastAsia"/>
        </w:rPr>
        <w:t>数据服务。</w:t>
      </w:r>
    </w:p>
    <w:p w:rsidR="00E51332" w:rsidRDefault="00B767C7">
      <w:pPr>
        <w:pStyle w:val="af"/>
        <w:spacing w:line="360" w:lineRule="auto"/>
        <w:rPr>
          <w:rFonts w:ascii="Times New Roman" w:hAnsi="Times New Roman"/>
        </w:rPr>
      </w:pPr>
      <w:r>
        <w:rPr>
          <w:rFonts w:ascii="Times New Roman" w:hAnsi="Times New Roman" w:hint="eastAsia"/>
        </w:rPr>
        <w:t>基于一体化政务大数据中心提供的工具和能力，统一管理和对外提供基础信息资源、主题信息资源和专题信息资源，实现共享、分析建模、可视化、开放授权等服务，全面支撑各地各部门的业务开展和应用创新。</w:t>
      </w:r>
    </w:p>
    <w:p w:rsidR="00E51332" w:rsidRDefault="00B767C7">
      <w:pPr>
        <w:pStyle w:val="3"/>
        <w:numPr>
          <w:ilvl w:val="0"/>
          <w:numId w:val="0"/>
        </w:numPr>
        <w:ind w:left="643"/>
      </w:pPr>
      <w:r>
        <w:rPr>
          <w:rFonts w:hint="eastAsia"/>
        </w:rPr>
        <w:t>6</w:t>
      </w:r>
      <w:r>
        <w:t>.</w:t>
      </w:r>
      <w:r>
        <w:rPr>
          <w:rFonts w:hint="eastAsia"/>
        </w:rPr>
        <w:t>数据标准。</w:t>
      </w:r>
    </w:p>
    <w:p w:rsidR="00E51332" w:rsidRDefault="00B767C7">
      <w:pPr>
        <w:pStyle w:val="af"/>
        <w:spacing w:line="360" w:lineRule="auto"/>
        <w:rPr>
          <w:rFonts w:ascii="Times New Roman" w:hAnsi="Times New Roman"/>
        </w:rPr>
      </w:pPr>
      <w:r>
        <w:rPr>
          <w:rFonts w:ascii="Times New Roman" w:hAnsi="Times New Roman" w:hint="eastAsia"/>
        </w:rPr>
        <w:t>依据省统一的数据汇聚、数据处理、数据库建设、数据分级分类、数据服务、数据应用和数据开放等标准规范，对</w:t>
      </w:r>
      <w:r>
        <w:rPr>
          <w:rFonts w:ascii="Times New Roman" w:hAnsi="Times New Roman" w:hint="eastAsia"/>
        </w:rPr>
        <w:lastRenderedPageBreak/>
        <w:t>数据的规范性、准确性、一致性、完整性、时效性进行规范指导和评估，推动实现数据全过程管理。</w:t>
      </w:r>
    </w:p>
    <w:p w:rsidR="00E51332" w:rsidRDefault="00B767C7">
      <w:pPr>
        <w:pStyle w:val="3"/>
        <w:numPr>
          <w:ilvl w:val="0"/>
          <w:numId w:val="0"/>
        </w:numPr>
        <w:ind w:left="643"/>
      </w:pPr>
      <w:r>
        <w:rPr>
          <w:rFonts w:hint="eastAsia"/>
        </w:rPr>
        <w:t>7</w:t>
      </w:r>
      <w:r>
        <w:t>.</w:t>
      </w:r>
      <w:r>
        <w:rPr>
          <w:rFonts w:hint="eastAsia"/>
        </w:rPr>
        <w:t>数据安全。</w:t>
      </w:r>
    </w:p>
    <w:p w:rsidR="00E51332" w:rsidRDefault="00B767C7">
      <w:pPr>
        <w:pStyle w:val="af"/>
        <w:spacing w:line="360" w:lineRule="auto"/>
        <w:rPr>
          <w:rFonts w:ascii="Times New Roman" w:hAnsi="Times New Roman"/>
        </w:rPr>
      </w:pPr>
      <w:r>
        <w:rPr>
          <w:rFonts w:ascii="Times New Roman" w:hAnsi="Times New Roman"/>
        </w:rPr>
        <w:t>结合国家</w:t>
      </w:r>
      <w:r>
        <w:rPr>
          <w:rFonts w:ascii="Times New Roman" w:hAnsi="Times New Roman" w:hint="eastAsia"/>
        </w:rPr>
        <w:t>网络</w:t>
      </w:r>
      <w:r>
        <w:rPr>
          <w:rFonts w:ascii="Times New Roman" w:hAnsi="Times New Roman"/>
        </w:rPr>
        <w:t>信息安全保护</w:t>
      </w:r>
      <w:r>
        <w:rPr>
          <w:rFonts w:ascii="Times New Roman" w:hAnsi="Times New Roman" w:hint="eastAsia"/>
        </w:rPr>
        <w:t>要</w:t>
      </w:r>
      <w:r>
        <w:rPr>
          <w:rFonts w:ascii="Times New Roman" w:hAnsi="Times New Roman"/>
        </w:rPr>
        <w:t>求，</w:t>
      </w:r>
      <w:r>
        <w:rPr>
          <w:rFonts w:ascii="Times New Roman" w:hAnsi="Times New Roman" w:hint="eastAsia"/>
        </w:rPr>
        <w:t>围绕数据采集、治理、存储、共享、开发利用、销毁等全过程，健全数据安全制度、强化安全管理和安全技术防护，建立</w:t>
      </w:r>
      <w:r>
        <w:rPr>
          <w:rFonts w:ascii="Times New Roman" w:hAnsi="Times New Roman"/>
        </w:rPr>
        <w:t>统一规范的政务数据安全保障体系，</w:t>
      </w:r>
      <w:r>
        <w:rPr>
          <w:rFonts w:ascii="Times New Roman" w:hAnsi="Times New Roman" w:hint="eastAsia"/>
        </w:rPr>
        <w:t>确保政务数据全生命周期安全可控</w:t>
      </w:r>
      <w:r>
        <w:rPr>
          <w:rFonts w:ascii="Times New Roman" w:hAnsi="Times New Roman"/>
        </w:rPr>
        <w:t>。</w:t>
      </w:r>
    </w:p>
    <w:p w:rsidR="00E51332" w:rsidRDefault="00B767C7">
      <w:pPr>
        <w:pStyle w:val="2"/>
        <w:spacing w:before="156" w:after="156"/>
        <w:ind w:firstLine="640"/>
      </w:pPr>
      <w:bookmarkStart w:id="69" w:name="_Toc64903392"/>
      <w:bookmarkStart w:id="70" w:name="_Toc66093954"/>
      <w:r>
        <w:rPr>
          <w:rFonts w:hint="eastAsia"/>
        </w:rPr>
        <w:t>安全架构。</w:t>
      </w:r>
      <w:bookmarkEnd w:id="69"/>
      <w:bookmarkEnd w:id="70"/>
    </w:p>
    <w:p w:rsidR="00E51332" w:rsidRDefault="00B767C7">
      <w:pPr>
        <w:spacing w:line="360" w:lineRule="auto"/>
        <w:ind w:firstLine="640"/>
        <w:rPr>
          <w:szCs w:val="32"/>
        </w:rPr>
      </w:pPr>
      <w:r>
        <w:rPr>
          <w:rFonts w:hint="eastAsia"/>
          <w:szCs w:val="32"/>
        </w:rPr>
        <w:t>统筹数字政府发展和安全，统一安全管理机制，以安全技术体系为支撑，以安全管理和安全监管为保障，打造覆盖“事前、事中、事后”的安全</w:t>
      </w:r>
      <w:proofErr w:type="gramStart"/>
      <w:r>
        <w:rPr>
          <w:rFonts w:hint="eastAsia"/>
          <w:szCs w:val="32"/>
        </w:rPr>
        <w:t>全</w:t>
      </w:r>
      <w:proofErr w:type="gramEnd"/>
      <w:r>
        <w:rPr>
          <w:rFonts w:hint="eastAsia"/>
          <w:szCs w:val="32"/>
        </w:rPr>
        <w:t>周期防护，构建“安全可信，合</w:t>
      </w:r>
      <w:proofErr w:type="gramStart"/>
      <w:r>
        <w:rPr>
          <w:rFonts w:hint="eastAsia"/>
          <w:szCs w:val="32"/>
        </w:rPr>
        <w:t>规</w:t>
      </w:r>
      <w:proofErr w:type="gramEnd"/>
      <w:r>
        <w:rPr>
          <w:rFonts w:hint="eastAsia"/>
          <w:szCs w:val="32"/>
        </w:rPr>
        <w:t>可控”的数字政府安全立体纵深防御体系。</w:t>
      </w:r>
    </w:p>
    <w:p w:rsidR="00E51332" w:rsidRDefault="00B767C7">
      <w:pPr>
        <w:spacing w:line="384" w:lineRule="auto"/>
        <w:ind w:leftChars="-44" w:left="-141" w:firstLineChars="0" w:firstLine="0"/>
        <w:jc w:val="center"/>
      </w:pPr>
      <w:r>
        <w:rPr>
          <w:noProof/>
        </w:rPr>
        <w:drawing>
          <wp:inline distT="0" distB="0" distL="0" distR="0" wp14:anchorId="0099B302" wp14:editId="2374FD77">
            <wp:extent cx="5274310" cy="3407410"/>
            <wp:effectExtent l="0" t="0" r="2540" b="2540"/>
            <wp:docPr id="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1"/>
                    <pic:cNvPicPr>
                      <a:picLocks noChangeAspect="1"/>
                    </pic:cNvPicPr>
                  </pic:nvPicPr>
                  <pic:blipFill>
                    <a:blip r:embed="rId22"/>
                    <a:stretch>
                      <a:fillRect/>
                    </a:stretch>
                  </pic:blipFill>
                  <pic:spPr>
                    <a:xfrm>
                      <a:off x="0" y="0"/>
                      <a:ext cx="5274310" cy="3407410"/>
                    </a:xfrm>
                    <a:prstGeom prst="rect">
                      <a:avLst/>
                    </a:prstGeom>
                  </pic:spPr>
                </pic:pic>
              </a:graphicData>
            </a:graphic>
          </wp:inline>
        </w:drawing>
      </w:r>
    </w:p>
    <w:p w:rsidR="00E51332" w:rsidRDefault="00B767C7">
      <w:pPr>
        <w:pStyle w:val="a3"/>
        <w:spacing w:line="384" w:lineRule="auto"/>
        <w:ind w:firstLineChars="0" w:firstLine="0"/>
        <w:jc w:val="center"/>
        <w:rPr>
          <w:rFonts w:ascii="黑体" w:hAnsi="黑体" w:cs="Times New Roman"/>
          <w:sz w:val="24"/>
          <w:szCs w:val="24"/>
        </w:rPr>
      </w:pPr>
      <w:r>
        <w:rPr>
          <w:rFonts w:ascii="黑体" w:hAnsi="黑体" w:cs="Times New Roman" w:hint="eastAsia"/>
          <w:sz w:val="24"/>
          <w:szCs w:val="24"/>
        </w:rPr>
        <w:t xml:space="preserve">图 </w:t>
      </w:r>
      <w:r>
        <w:rPr>
          <w:rFonts w:ascii="黑体" w:hAnsi="黑体" w:cs="Times New Roman" w:hint="eastAsia"/>
          <w:sz w:val="24"/>
          <w:szCs w:val="24"/>
        </w:rPr>
        <w:fldChar w:fldCharType="begin"/>
      </w:r>
      <w:r>
        <w:rPr>
          <w:rFonts w:ascii="黑体" w:hAnsi="黑体" w:cs="Times New Roman" w:hint="eastAsia"/>
          <w:sz w:val="24"/>
          <w:szCs w:val="24"/>
        </w:rPr>
        <w:instrText xml:space="preserve"> SEQ 图 \* ARABIC </w:instrText>
      </w:r>
      <w:r>
        <w:rPr>
          <w:rFonts w:ascii="黑体" w:hAnsi="黑体" w:cs="Times New Roman" w:hint="eastAsia"/>
          <w:sz w:val="24"/>
          <w:szCs w:val="24"/>
        </w:rPr>
        <w:fldChar w:fldCharType="separate"/>
      </w:r>
      <w:r>
        <w:rPr>
          <w:rFonts w:ascii="黑体" w:hAnsi="黑体" w:cs="Times New Roman" w:hint="eastAsia"/>
          <w:sz w:val="24"/>
          <w:szCs w:val="24"/>
        </w:rPr>
        <w:t>5</w:t>
      </w:r>
      <w:r>
        <w:rPr>
          <w:rFonts w:ascii="黑体" w:hAnsi="黑体" w:cs="Times New Roman" w:hint="eastAsia"/>
          <w:sz w:val="24"/>
          <w:szCs w:val="24"/>
        </w:rPr>
        <w:fldChar w:fldCharType="end"/>
      </w:r>
      <w:r>
        <w:rPr>
          <w:rFonts w:ascii="黑体" w:hAnsi="黑体" w:cs="Times New Roman" w:hint="eastAsia"/>
          <w:sz w:val="24"/>
          <w:szCs w:val="24"/>
        </w:rPr>
        <w:t xml:space="preserve"> 数字政府安全架构图</w:t>
      </w:r>
    </w:p>
    <w:p w:rsidR="00E51332" w:rsidRDefault="00B767C7">
      <w:pPr>
        <w:pStyle w:val="3"/>
        <w:ind w:firstLine="643"/>
      </w:pPr>
      <w:r>
        <w:rPr>
          <w:rFonts w:hint="eastAsia"/>
        </w:rPr>
        <w:lastRenderedPageBreak/>
        <w:t>安全合</w:t>
      </w:r>
      <w:proofErr w:type="gramStart"/>
      <w:r>
        <w:rPr>
          <w:rFonts w:hint="eastAsia"/>
        </w:rPr>
        <w:t>规</w:t>
      </w:r>
      <w:proofErr w:type="gramEnd"/>
      <w:r>
        <w:rPr>
          <w:rFonts w:hint="eastAsia"/>
        </w:rPr>
        <w:t>。</w:t>
      </w:r>
    </w:p>
    <w:p w:rsidR="00E51332" w:rsidRDefault="00B767C7">
      <w:pPr>
        <w:spacing w:line="360" w:lineRule="auto"/>
        <w:ind w:firstLine="640"/>
        <w:rPr>
          <w:szCs w:val="32"/>
        </w:rPr>
      </w:pPr>
      <w:r>
        <w:rPr>
          <w:rFonts w:hint="eastAsia"/>
          <w:szCs w:val="32"/>
        </w:rPr>
        <w:t>安全合</w:t>
      </w:r>
      <w:proofErr w:type="gramStart"/>
      <w:r>
        <w:rPr>
          <w:rFonts w:hint="eastAsia"/>
          <w:szCs w:val="32"/>
        </w:rPr>
        <w:t>规</w:t>
      </w:r>
      <w:proofErr w:type="gramEnd"/>
      <w:r>
        <w:rPr>
          <w:rFonts w:hint="eastAsia"/>
          <w:szCs w:val="32"/>
        </w:rPr>
        <w:t>即根据国家、广东省网络安全有关政策文件规定，以具体安全需求为导向，以合</w:t>
      </w:r>
      <w:proofErr w:type="gramStart"/>
      <w:r>
        <w:rPr>
          <w:rFonts w:hint="eastAsia"/>
          <w:szCs w:val="32"/>
        </w:rPr>
        <w:t>规</w:t>
      </w:r>
      <w:proofErr w:type="gramEnd"/>
      <w:r>
        <w:rPr>
          <w:rFonts w:hint="eastAsia"/>
          <w:szCs w:val="32"/>
        </w:rPr>
        <w:t>为基础考虑整体安全设计，规范做好网络安全防护体系建设，保障安全工作推进的统一性、一致性、有效性。</w:t>
      </w:r>
    </w:p>
    <w:p w:rsidR="00E51332" w:rsidRDefault="00B767C7">
      <w:pPr>
        <w:pStyle w:val="3"/>
        <w:ind w:firstLine="643"/>
      </w:pPr>
      <w:r>
        <w:rPr>
          <w:rFonts w:hint="eastAsia"/>
        </w:rPr>
        <w:t>安全管理。</w:t>
      </w:r>
    </w:p>
    <w:p w:rsidR="00E51332" w:rsidRDefault="00B767C7">
      <w:pPr>
        <w:spacing w:line="360" w:lineRule="auto"/>
        <w:ind w:firstLine="640"/>
        <w:rPr>
          <w:szCs w:val="32"/>
        </w:rPr>
      </w:pPr>
      <w:r>
        <w:rPr>
          <w:rFonts w:hint="eastAsia"/>
          <w:szCs w:val="32"/>
        </w:rPr>
        <w:t>安全管理即完善安全组织、安全人员、责任分工、制度流程，强化安全管理和培训，明确各主体的责任分工，建立健全安全制度流程，提高安全管理水平。</w:t>
      </w:r>
    </w:p>
    <w:p w:rsidR="00E51332" w:rsidRDefault="00B767C7">
      <w:pPr>
        <w:pStyle w:val="3"/>
        <w:ind w:firstLine="643"/>
      </w:pPr>
      <w:r>
        <w:rPr>
          <w:rFonts w:hint="eastAsia"/>
        </w:rPr>
        <w:t>安全监管。</w:t>
      </w:r>
    </w:p>
    <w:p w:rsidR="00E51332" w:rsidRDefault="00B767C7">
      <w:pPr>
        <w:spacing w:line="384" w:lineRule="auto"/>
        <w:ind w:firstLine="640"/>
        <w:rPr>
          <w:szCs w:val="32"/>
        </w:rPr>
      </w:pPr>
      <w:r>
        <w:rPr>
          <w:rFonts w:hint="eastAsia"/>
          <w:szCs w:val="32"/>
        </w:rPr>
        <w:t>安全监管即加强安全指导、安全监测、通报预警、监督考核力度，明确</w:t>
      </w:r>
      <w:proofErr w:type="gramStart"/>
      <w:r>
        <w:rPr>
          <w:rFonts w:hint="eastAsia"/>
          <w:szCs w:val="32"/>
        </w:rPr>
        <w:t>市委网信办</w:t>
      </w:r>
      <w:proofErr w:type="gramEnd"/>
      <w:r>
        <w:rPr>
          <w:rFonts w:hint="eastAsia"/>
          <w:szCs w:val="32"/>
        </w:rPr>
        <w:t>、市公安局、市委机要保密局等监管单位责任，建立技术平台提升数字政府安全监管的效率与能力。</w:t>
      </w:r>
    </w:p>
    <w:p w:rsidR="00E51332" w:rsidRDefault="00B767C7">
      <w:pPr>
        <w:pStyle w:val="3"/>
        <w:ind w:firstLine="643"/>
      </w:pPr>
      <w:r>
        <w:rPr>
          <w:rFonts w:hint="eastAsia"/>
        </w:rPr>
        <w:t>安全运营。</w:t>
      </w:r>
    </w:p>
    <w:p w:rsidR="00E51332" w:rsidRDefault="00B767C7">
      <w:pPr>
        <w:spacing w:line="384" w:lineRule="auto"/>
        <w:ind w:firstLine="640"/>
        <w:rPr>
          <w:szCs w:val="32"/>
        </w:rPr>
      </w:pPr>
      <w:r>
        <w:rPr>
          <w:rFonts w:hint="eastAsia"/>
          <w:szCs w:val="32"/>
        </w:rPr>
        <w:t>安全运营即基于安全技术体系，提升包括安全识别、安全防护、事件响应与处置、安全分析与监测等安全服务水平，加强集中化、自动化、智能化的安全运营，提供覆盖安全</w:t>
      </w:r>
      <w:proofErr w:type="gramStart"/>
      <w:r>
        <w:rPr>
          <w:rFonts w:hint="eastAsia"/>
          <w:szCs w:val="32"/>
        </w:rPr>
        <w:t>全</w:t>
      </w:r>
      <w:proofErr w:type="gramEnd"/>
      <w:r>
        <w:rPr>
          <w:rFonts w:hint="eastAsia"/>
          <w:szCs w:val="32"/>
        </w:rPr>
        <w:t>生命周期的服务能力。</w:t>
      </w:r>
    </w:p>
    <w:p w:rsidR="00E51332" w:rsidRDefault="00B767C7">
      <w:pPr>
        <w:pStyle w:val="3"/>
        <w:ind w:firstLine="643"/>
      </w:pPr>
      <w:r>
        <w:rPr>
          <w:rFonts w:hint="eastAsia"/>
        </w:rPr>
        <w:t>安全技术。</w:t>
      </w:r>
    </w:p>
    <w:p w:rsidR="00E51332" w:rsidRDefault="00B767C7">
      <w:pPr>
        <w:spacing w:line="384" w:lineRule="auto"/>
        <w:ind w:firstLine="640"/>
        <w:rPr>
          <w:szCs w:val="32"/>
        </w:rPr>
      </w:pPr>
      <w:r>
        <w:rPr>
          <w:rFonts w:hint="eastAsia"/>
          <w:szCs w:val="32"/>
        </w:rPr>
        <w:t>安全技术是安全的关键性支撑，包括完善安全基础资源、安全运营支撑以及覆盖基础安全、应用安全、数据安全</w:t>
      </w:r>
      <w:r w:rsidR="00362CB1">
        <w:rPr>
          <w:rFonts w:hint="eastAsia"/>
          <w:szCs w:val="32"/>
        </w:rPr>
        <w:t>和</w:t>
      </w:r>
      <w:r>
        <w:rPr>
          <w:rFonts w:hint="eastAsia"/>
          <w:szCs w:val="32"/>
        </w:rPr>
        <w:t>新</w:t>
      </w:r>
      <w:r>
        <w:rPr>
          <w:rFonts w:hint="eastAsia"/>
          <w:szCs w:val="32"/>
        </w:rPr>
        <w:lastRenderedPageBreak/>
        <w:t>技术应用安全的技术手段和技术能力。</w:t>
      </w:r>
    </w:p>
    <w:p w:rsidR="00E51332" w:rsidRDefault="00B767C7">
      <w:pPr>
        <w:pStyle w:val="1"/>
      </w:pPr>
      <w:bookmarkStart w:id="71" w:name="_Toc61464608"/>
      <w:bookmarkStart w:id="72" w:name="_Toc66093955"/>
      <w:bookmarkStart w:id="73" w:name="_Toc64903393"/>
      <w:r>
        <w:rPr>
          <w:rFonts w:hint="eastAsia"/>
        </w:rPr>
        <w:t>主要任务</w:t>
      </w:r>
      <w:bookmarkEnd w:id="71"/>
      <w:bookmarkEnd w:id="72"/>
      <w:bookmarkEnd w:id="73"/>
    </w:p>
    <w:p w:rsidR="00E51332" w:rsidRDefault="00B767C7">
      <w:pPr>
        <w:pStyle w:val="2"/>
        <w:spacing w:before="156" w:after="156"/>
        <w:ind w:firstLine="640"/>
      </w:pPr>
      <w:bookmarkStart w:id="74" w:name="_Toc66093956"/>
      <w:bookmarkStart w:id="75" w:name="_Toc63596502"/>
      <w:bookmarkStart w:id="76" w:name="_Toc64903394"/>
      <w:r>
        <w:rPr>
          <w:rFonts w:hint="eastAsia"/>
        </w:rPr>
        <w:t>数字惠民，深度开发便民服务应用。</w:t>
      </w:r>
      <w:bookmarkEnd w:id="74"/>
      <w:bookmarkEnd w:id="75"/>
      <w:bookmarkEnd w:id="76"/>
    </w:p>
    <w:p w:rsidR="00E51332" w:rsidRDefault="00B767C7">
      <w:pPr>
        <w:pStyle w:val="3"/>
        <w:ind w:firstLine="643"/>
      </w:pPr>
      <w:r>
        <w:rPr>
          <w:rFonts w:hint="eastAsia"/>
        </w:rPr>
        <w:t>优化政务服务流程。</w:t>
      </w:r>
    </w:p>
    <w:p w:rsidR="00E51332" w:rsidRDefault="00B767C7">
      <w:pPr>
        <w:ind w:firstLine="643"/>
      </w:pPr>
      <w:r>
        <w:rPr>
          <w:rFonts w:hint="eastAsia"/>
          <w:b/>
          <w:bCs/>
        </w:rPr>
        <w:t>（</w:t>
      </w:r>
      <w:r>
        <w:rPr>
          <w:rFonts w:hint="eastAsia"/>
          <w:b/>
          <w:bCs/>
        </w:rPr>
        <w:t>1</w:t>
      </w:r>
      <w:r>
        <w:rPr>
          <w:rFonts w:hint="eastAsia"/>
          <w:b/>
          <w:bCs/>
        </w:rPr>
        <w:t>）深化政务服务事项标准化。</w:t>
      </w:r>
      <w:r>
        <w:rPr>
          <w:rFonts w:hint="eastAsia"/>
        </w:rPr>
        <w:t>深化政务服务事项标准化工作，推动政务服务事项标准线上线下深度融合，依托省政务服务事项标准化成果，结合本地政务服务事项管理需求，持续完善市政务服务事项管理系统，有效支撑政务服务事项管理和应用。</w:t>
      </w:r>
    </w:p>
    <w:p w:rsidR="00E51332" w:rsidRDefault="00B767C7">
      <w:pPr>
        <w:ind w:firstLine="643"/>
      </w:pPr>
      <w:r>
        <w:rPr>
          <w:rFonts w:hint="eastAsia"/>
          <w:b/>
          <w:bCs/>
        </w:rPr>
        <w:t>（</w:t>
      </w:r>
      <w:r>
        <w:rPr>
          <w:rFonts w:hint="eastAsia"/>
          <w:b/>
          <w:bCs/>
        </w:rPr>
        <w:t>2</w:t>
      </w:r>
      <w:r>
        <w:rPr>
          <w:rFonts w:hint="eastAsia"/>
          <w:b/>
          <w:bCs/>
        </w:rPr>
        <w:t>）推行“一次办成一件事”</w:t>
      </w:r>
      <w:r>
        <w:rPr>
          <w:rFonts w:hint="eastAsia"/>
        </w:rPr>
        <w:t>。以群众和企业眼中的“一件事”为需求导向，整合优化跨部门跨层级跨领域办事流程，破解传统事项分类体系与层级划分难以满足办事需求、前台受理人员学习繁重等难题，打造“一次办成一件事”智能精细化政务服务模式，实现“一套材料、一张表单、一次申请、一窗受理、一网通办、一次办结”，提升用户办事体验和办事可用性。</w:t>
      </w:r>
    </w:p>
    <w:p w:rsidR="00E51332" w:rsidRDefault="00B767C7">
      <w:pPr>
        <w:ind w:firstLine="643"/>
      </w:pPr>
      <w:r>
        <w:rPr>
          <w:rFonts w:hint="eastAsia"/>
          <w:b/>
          <w:bCs/>
        </w:rPr>
        <w:t>（</w:t>
      </w:r>
      <w:r>
        <w:rPr>
          <w:rFonts w:hint="eastAsia"/>
          <w:b/>
          <w:bCs/>
        </w:rPr>
        <w:t>3</w:t>
      </w:r>
      <w:r>
        <w:rPr>
          <w:rFonts w:hint="eastAsia"/>
          <w:b/>
          <w:bCs/>
        </w:rPr>
        <w:t>）开展政务服务“四免”优化</w:t>
      </w:r>
      <w:r>
        <w:rPr>
          <w:rFonts w:hint="eastAsia"/>
        </w:rPr>
        <w:t>。推进政务服务“四免”优化，梳理“四免”优化负面清单，对负面清单之外的事项和要素实现应</w:t>
      </w:r>
      <w:proofErr w:type="gramStart"/>
      <w:r>
        <w:rPr>
          <w:rFonts w:hint="eastAsia"/>
        </w:rPr>
        <w:t>免尽免</w:t>
      </w:r>
      <w:proofErr w:type="gramEnd"/>
      <w:r>
        <w:rPr>
          <w:rFonts w:hint="eastAsia"/>
        </w:rPr>
        <w:t>，改造优化事项涉及的业务申办审批系统，做好与数字政府建设相关平台对接。探索无人工干预自动智能审批，依托省市一体化政务大数据中心，充分利用人工智能技术，明确审批规则，推出与群众企业密切相关</w:t>
      </w:r>
      <w:r>
        <w:rPr>
          <w:rFonts w:hint="eastAsia"/>
        </w:rPr>
        <w:lastRenderedPageBreak/>
        <w:t>的高频“秒批智办”政务服务事项，全面提升审批效率。</w:t>
      </w:r>
    </w:p>
    <w:p w:rsidR="00E51332" w:rsidRDefault="00B767C7">
      <w:pPr>
        <w:ind w:firstLine="643"/>
      </w:pPr>
      <w:r>
        <w:rPr>
          <w:rFonts w:hint="eastAsia"/>
          <w:b/>
          <w:bCs/>
        </w:rPr>
        <w:t>（</w:t>
      </w:r>
      <w:r>
        <w:rPr>
          <w:b/>
          <w:bCs/>
        </w:rPr>
        <w:t>4</w:t>
      </w:r>
      <w:r>
        <w:rPr>
          <w:rFonts w:hint="eastAsia"/>
          <w:b/>
          <w:bCs/>
        </w:rPr>
        <w:t>）开展政务服务跨域通办</w:t>
      </w:r>
      <w:r>
        <w:rPr>
          <w:rFonts w:hint="eastAsia"/>
        </w:rPr>
        <w:t>。深化政务服务“省内通办”“湾区通办”，推动实现政务服务</w:t>
      </w:r>
      <w:proofErr w:type="gramStart"/>
      <w:r>
        <w:rPr>
          <w:rFonts w:hint="eastAsia"/>
        </w:rPr>
        <w:t>跨城线上线</w:t>
      </w:r>
      <w:proofErr w:type="gramEnd"/>
      <w:r>
        <w:rPr>
          <w:rFonts w:hint="eastAsia"/>
        </w:rPr>
        <w:t>下融合互通、无差别协同办理。推进政务服务“跨省通办”，充分运用信息技术手段优化再造业务流程、强化业务协同，不断拓展“跨省通办”范围和深度。建立政务服务市内无差别受理机制，实现政务服务“同事同标”，推进政务服务“市内通办”。</w:t>
      </w:r>
    </w:p>
    <w:p w:rsidR="00E51332" w:rsidRDefault="00B767C7">
      <w:pPr>
        <w:ind w:firstLine="643"/>
      </w:pPr>
      <w:r>
        <w:rPr>
          <w:rFonts w:hint="eastAsia"/>
          <w:b/>
          <w:bCs/>
        </w:rPr>
        <w:t>（</w:t>
      </w:r>
      <w:r>
        <w:rPr>
          <w:b/>
          <w:bCs/>
        </w:rPr>
        <w:t>5</w:t>
      </w:r>
      <w:r>
        <w:rPr>
          <w:rFonts w:hint="eastAsia"/>
          <w:b/>
          <w:bCs/>
        </w:rPr>
        <w:t>）提升基层政务服务水平</w:t>
      </w:r>
      <w:r>
        <w:rPr>
          <w:rFonts w:hint="eastAsia"/>
        </w:rPr>
        <w:t>。以基层群众办事需求为出发点，不断拓展政务服务内容和渠道，进一步探索事权下放，推动有条件的街道、居委会实行集成政府办事机构“一站式”服务。推进镇、村政务服务机构标准化建设，进一步提升群众办事便利度。推广市统一申办受理平台，提升县（区）、镇（街）两级基层“一门式”政务服务能力，实现“一门”在基层、服务在网上，并逐步延伸覆盖到村（居）。</w:t>
      </w:r>
    </w:p>
    <w:tbl>
      <w:tblPr>
        <w:tblStyle w:val="ab"/>
        <w:tblW w:w="8296" w:type="dxa"/>
        <w:tblLayout w:type="fixed"/>
        <w:tblLook w:val="04A0" w:firstRow="1" w:lastRow="0" w:firstColumn="1" w:lastColumn="0" w:noHBand="0" w:noVBand="1"/>
      </w:tblPr>
      <w:tblGrid>
        <w:gridCol w:w="8296"/>
      </w:tblGrid>
      <w:tr w:rsidR="00E51332">
        <w:tc>
          <w:tcPr>
            <w:tcW w:w="8296" w:type="dxa"/>
          </w:tcPr>
          <w:p w:rsidR="00E51332" w:rsidRDefault="00B767C7">
            <w:pPr>
              <w:spacing w:line="384" w:lineRule="auto"/>
              <w:ind w:firstLineChars="0" w:firstLine="0"/>
              <w:jc w:val="center"/>
              <w:rPr>
                <w:rFonts w:eastAsia="黑体"/>
                <w:kern w:val="0"/>
                <w:sz w:val="28"/>
                <w:szCs w:val="20"/>
              </w:rPr>
            </w:pPr>
            <w:r>
              <w:rPr>
                <w:rFonts w:eastAsia="黑体"/>
                <w:kern w:val="0"/>
                <w:sz w:val="28"/>
                <w:szCs w:val="20"/>
              </w:rPr>
              <w:t>专栏</w:t>
            </w:r>
            <w:r>
              <w:rPr>
                <w:rFonts w:eastAsia="黑体"/>
                <w:kern w:val="0"/>
                <w:sz w:val="28"/>
                <w:szCs w:val="20"/>
              </w:rPr>
              <w:t xml:space="preserve">1 </w:t>
            </w:r>
            <w:r>
              <w:rPr>
                <w:rFonts w:eastAsia="黑体" w:hint="eastAsia"/>
                <w:kern w:val="0"/>
                <w:sz w:val="28"/>
                <w:szCs w:val="20"/>
              </w:rPr>
              <w:t>政务服务流程优化</w:t>
            </w:r>
            <w:r>
              <w:rPr>
                <w:rFonts w:eastAsia="黑体"/>
                <w:kern w:val="0"/>
                <w:sz w:val="28"/>
                <w:szCs w:val="20"/>
              </w:rPr>
              <w:t>重点</w:t>
            </w:r>
            <w:r>
              <w:rPr>
                <w:rFonts w:eastAsia="黑体" w:hint="eastAsia"/>
                <w:kern w:val="0"/>
                <w:sz w:val="28"/>
                <w:szCs w:val="20"/>
              </w:rPr>
              <w:t>项目</w:t>
            </w:r>
          </w:p>
        </w:tc>
      </w:tr>
      <w:tr w:rsidR="00E51332">
        <w:tc>
          <w:tcPr>
            <w:tcW w:w="8296" w:type="dxa"/>
          </w:tcPr>
          <w:p w:rsidR="00E51332" w:rsidRDefault="00B767C7">
            <w:pPr>
              <w:snapToGrid w:val="0"/>
              <w:spacing w:line="480" w:lineRule="exact"/>
              <w:ind w:firstLine="560"/>
              <w:rPr>
                <w:rFonts w:ascii="仿宋_GB2312"/>
                <w:kern w:val="0"/>
                <w:sz w:val="28"/>
                <w:szCs w:val="24"/>
              </w:rPr>
            </w:pPr>
            <w:r>
              <w:rPr>
                <w:rFonts w:ascii="楷体_GB2312" w:eastAsia="楷体_GB2312" w:hint="eastAsia"/>
                <w:kern w:val="0"/>
                <w:sz w:val="28"/>
                <w:szCs w:val="24"/>
              </w:rPr>
              <w:t>“免证办”系统</w:t>
            </w:r>
            <w:r>
              <w:rPr>
                <w:rFonts w:ascii="仿宋_GB2312" w:hint="eastAsia"/>
                <w:kern w:val="0"/>
                <w:sz w:val="28"/>
                <w:szCs w:val="24"/>
              </w:rPr>
              <w:t>。升级建设“免证办”系统，梳理服务事项清单，进一步增强政务服务便利度。</w:t>
            </w:r>
          </w:p>
          <w:p w:rsidR="00E51332" w:rsidRDefault="00B767C7">
            <w:pPr>
              <w:snapToGrid w:val="0"/>
              <w:spacing w:line="480" w:lineRule="exact"/>
              <w:ind w:firstLine="560"/>
              <w:rPr>
                <w:rFonts w:ascii="仿宋_GB2312"/>
                <w:kern w:val="0"/>
                <w:sz w:val="28"/>
                <w:szCs w:val="24"/>
              </w:rPr>
            </w:pPr>
            <w:r>
              <w:rPr>
                <w:rFonts w:ascii="楷体_GB2312" w:eastAsia="楷体_GB2312" w:hint="eastAsia"/>
                <w:kern w:val="0"/>
                <w:sz w:val="28"/>
                <w:szCs w:val="24"/>
              </w:rPr>
              <w:t>政务服务系统</w:t>
            </w:r>
            <w:r>
              <w:rPr>
                <w:rFonts w:ascii="仿宋_GB2312" w:hint="eastAsia"/>
                <w:kern w:val="0"/>
                <w:sz w:val="28"/>
                <w:szCs w:val="24"/>
              </w:rPr>
              <w:t>。升级改造政务服务系统，建设审批要素标准库，实现基础业务</w:t>
            </w:r>
            <w:proofErr w:type="gramStart"/>
            <w:r>
              <w:rPr>
                <w:rFonts w:ascii="仿宋_GB2312" w:hint="eastAsia"/>
                <w:kern w:val="0"/>
                <w:sz w:val="28"/>
                <w:szCs w:val="24"/>
              </w:rPr>
              <w:t>秒批秒</w:t>
            </w:r>
            <w:proofErr w:type="gramEnd"/>
            <w:r>
              <w:rPr>
                <w:rFonts w:ascii="仿宋_GB2312" w:hint="eastAsia"/>
                <w:kern w:val="0"/>
                <w:sz w:val="28"/>
                <w:szCs w:val="24"/>
              </w:rPr>
              <w:t>办，复杂业务“一次办”。</w:t>
            </w:r>
          </w:p>
          <w:p w:rsidR="00E51332" w:rsidRDefault="00B767C7">
            <w:pPr>
              <w:snapToGrid w:val="0"/>
              <w:spacing w:after="120" w:line="480" w:lineRule="atLeast"/>
              <w:ind w:firstLine="560"/>
              <w:rPr>
                <w:kern w:val="0"/>
                <w:sz w:val="28"/>
                <w:szCs w:val="24"/>
              </w:rPr>
            </w:pPr>
            <w:r>
              <w:rPr>
                <w:rFonts w:eastAsia="楷体_GB2312" w:hint="eastAsia"/>
                <w:kern w:val="0"/>
                <w:sz w:val="28"/>
                <w:szCs w:val="24"/>
              </w:rPr>
              <w:t>政务服务流程优化梳理。</w:t>
            </w:r>
            <w:r>
              <w:rPr>
                <w:rFonts w:ascii="仿宋_GB2312" w:hint="eastAsia"/>
                <w:kern w:val="0"/>
                <w:sz w:val="28"/>
                <w:szCs w:val="24"/>
              </w:rPr>
              <w:t>在政务服务事项标准化的基础上，政务服务流程优化工作，主要包括：政务服务事项业务办理项拆分，政务服务事项情形导办，政务服务“四免”优化梳理，一件</w:t>
            </w:r>
            <w:proofErr w:type="gramStart"/>
            <w:r>
              <w:rPr>
                <w:rFonts w:ascii="仿宋_GB2312" w:hint="eastAsia"/>
                <w:kern w:val="0"/>
                <w:sz w:val="28"/>
                <w:szCs w:val="24"/>
              </w:rPr>
              <w:t>事主题</w:t>
            </w:r>
            <w:proofErr w:type="gramEnd"/>
            <w:r>
              <w:rPr>
                <w:rFonts w:ascii="仿宋_GB2312" w:hint="eastAsia"/>
                <w:kern w:val="0"/>
                <w:sz w:val="28"/>
                <w:szCs w:val="24"/>
              </w:rPr>
              <w:t>事项梳理；市内通办、省内通办、湾区通办、跨省</w:t>
            </w:r>
            <w:proofErr w:type="gramStart"/>
            <w:r>
              <w:rPr>
                <w:rFonts w:ascii="仿宋_GB2312" w:hint="eastAsia"/>
                <w:kern w:val="0"/>
                <w:sz w:val="28"/>
                <w:szCs w:val="24"/>
              </w:rPr>
              <w:t>通办事</w:t>
            </w:r>
            <w:proofErr w:type="gramEnd"/>
            <w:r>
              <w:rPr>
                <w:rFonts w:ascii="仿宋_GB2312" w:hint="eastAsia"/>
                <w:kern w:val="0"/>
                <w:sz w:val="28"/>
                <w:szCs w:val="24"/>
              </w:rPr>
              <w:t>项梳理等。</w:t>
            </w:r>
          </w:p>
        </w:tc>
      </w:tr>
    </w:tbl>
    <w:p w:rsidR="00E51332" w:rsidRDefault="00B767C7">
      <w:pPr>
        <w:pStyle w:val="3"/>
        <w:ind w:firstLine="643"/>
      </w:pPr>
      <w:r>
        <w:rPr>
          <w:rFonts w:hint="eastAsia"/>
        </w:rPr>
        <w:lastRenderedPageBreak/>
        <w:t>拓展政务服务渠道。</w:t>
      </w:r>
    </w:p>
    <w:p w:rsidR="00E51332" w:rsidRDefault="00B767C7">
      <w:pPr>
        <w:ind w:firstLine="643"/>
      </w:pPr>
      <w:r>
        <w:rPr>
          <w:rFonts w:hint="eastAsia"/>
          <w:b/>
          <w:bCs/>
        </w:rPr>
        <w:t>（</w:t>
      </w:r>
      <w:r>
        <w:rPr>
          <w:rFonts w:hint="eastAsia"/>
          <w:b/>
          <w:bCs/>
        </w:rPr>
        <w:t>1</w:t>
      </w:r>
      <w:r>
        <w:rPr>
          <w:rFonts w:hint="eastAsia"/>
          <w:b/>
          <w:bCs/>
        </w:rPr>
        <w:t>）提升</w:t>
      </w:r>
      <w:r>
        <w:rPr>
          <w:rFonts w:hint="eastAsia"/>
          <w:b/>
          <w:bCs/>
        </w:rPr>
        <w:t xml:space="preserve"> </w:t>
      </w:r>
      <w:r>
        <w:rPr>
          <w:rFonts w:hint="eastAsia"/>
          <w:b/>
          <w:bCs/>
        </w:rPr>
        <w:t>“一网通办”能力</w:t>
      </w:r>
      <w:r>
        <w:rPr>
          <w:rFonts w:hint="eastAsia"/>
        </w:rPr>
        <w:t>。按照全国一体化在线政务服务平台建设要求，全面优化提升江门市政务服务一体化平台，通过一网集中各部门涉企、涉民的行政审批和服务事项，整合政务服务网系统与各部门业务系统，实现所有事项统一受理、集中办理、统一反馈的“一网式”政务服务，支撑线下线上深度融合。</w:t>
      </w:r>
    </w:p>
    <w:p w:rsidR="00E51332" w:rsidRDefault="00B767C7">
      <w:pPr>
        <w:ind w:firstLine="643"/>
      </w:pPr>
      <w:r>
        <w:rPr>
          <w:rFonts w:hint="eastAsia"/>
          <w:b/>
          <w:bCs/>
        </w:rPr>
        <w:t>（</w:t>
      </w:r>
      <w:r>
        <w:rPr>
          <w:rFonts w:hint="eastAsia"/>
          <w:b/>
          <w:bCs/>
        </w:rPr>
        <w:t>2</w:t>
      </w:r>
      <w:r>
        <w:rPr>
          <w:rFonts w:hint="eastAsia"/>
          <w:b/>
          <w:bCs/>
        </w:rPr>
        <w:t>）拓展“指尖”办事内容。</w:t>
      </w:r>
      <w:r>
        <w:rPr>
          <w:rFonts w:hint="eastAsia"/>
        </w:rPr>
        <w:t>依托“粤省事”“粤商通”“江门易办事”，整合部门面向企业及群众服务的移动</w:t>
      </w:r>
      <w:r>
        <w:rPr>
          <w:rFonts w:hint="eastAsia"/>
        </w:rPr>
        <w:t>App</w:t>
      </w:r>
      <w:r>
        <w:rPr>
          <w:rFonts w:hint="eastAsia"/>
        </w:rPr>
        <w:t>，优化群众关心的公安、医疗、教育、社保、就业等重点领域政务服务应用深度，推进更多事项上线“粤省事”“粤商通”“江门易办事”，拓展丰富交通出行、日常缴费等便民应用功能，实现企业和群众办事像</w:t>
      </w:r>
      <w:proofErr w:type="gramStart"/>
      <w:r>
        <w:rPr>
          <w:rFonts w:hint="eastAsia"/>
        </w:rPr>
        <w:t>网购一样</w:t>
      </w:r>
      <w:proofErr w:type="gramEnd"/>
      <w:r>
        <w:rPr>
          <w:rFonts w:hint="eastAsia"/>
        </w:rPr>
        <w:t>方便，进一步推动让群众不出门办成事，减少群众跑动。</w:t>
      </w:r>
    </w:p>
    <w:p w:rsidR="00E51332" w:rsidRDefault="00B767C7">
      <w:pPr>
        <w:ind w:firstLine="643"/>
      </w:pPr>
      <w:r>
        <w:rPr>
          <w:rFonts w:hint="eastAsia"/>
          <w:b/>
          <w:bCs/>
        </w:rPr>
        <w:t>（</w:t>
      </w:r>
      <w:r>
        <w:rPr>
          <w:rFonts w:hint="eastAsia"/>
          <w:b/>
          <w:bCs/>
        </w:rPr>
        <w:t>3</w:t>
      </w:r>
      <w:r>
        <w:rPr>
          <w:rFonts w:hint="eastAsia"/>
          <w:b/>
          <w:bCs/>
        </w:rPr>
        <w:t>）优化服务大厅办事体验。</w:t>
      </w:r>
      <w:r>
        <w:rPr>
          <w:rFonts w:hint="eastAsia"/>
        </w:rPr>
        <w:t>加强政务服务大厅标准化建设，全面落实政务大厅省级标准，推进市、县、镇（街）政务服务统一品牌形象、统一管理规范、统一服务标准，优化完善咨询、导办、帮办服务流程，打造布局科学、智慧高效、服务周全、温馨舒适的“无差别全科受理”“一站式”服务大厅。开展对事项属性和用户信息关联，提升政务服务智能、精准推送能力，建立完善政务服务地图，提供政务服务大厅导航、距离排序、预约、等候人数提醒、等候时间预估等智能服务，打造一批智慧型政务服务大厅，增强群众办</w:t>
      </w:r>
      <w:r>
        <w:rPr>
          <w:rFonts w:hint="eastAsia"/>
        </w:rPr>
        <w:lastRenderedPageBreak/>
        <w:t>事体验度和获得感，提升政务服务便利化水平。</w:t>
      </w:r>
    </w:p>
    <w:p w:rsidR="00E51332" w:rsidRDefault="00B767C7">
      <w:pPr>
        <w:spacing w:line="360" w:lineRule="auto"/>
        <w:ind w:firstLine="643"/>
      </w:pPr>
      <w:r>
        <w:rPr>
          <w:rFonts w:hint="eastAsia"/>
          <w:b/>
          <w:bCs/>
        </w:rPr>
        <w:t>（</w:t>
      </w:r>
      <w:r>
        <w:rPr>
          <w:b/>
          <w:bCs/>
        </w:rPr>
        <w:t>4</w:t>
      </w:r>
      <w:r>
        <w:rPr>
          <w:rFonts w:hint="eastAsia"/>
          <w:b/>
          <w:bCs/>
        </w:rPr>
        <w:t>）打造多元政务服务渠道</w:t>
      </w:r>
      <w:r>
        <w:rPr>
          <w:rFonts w:hint="eastAsia"/>
        </w:rPr>
        <w:t>。推进“侨都之窗”自助便民服务终端实现城乡全覆盖，推动更多事项全程自助办理，服务群众最后一公里难题，实现政务服务“就近办”“马上办”。做深“政银通办”，充分利用银行网点辐射范围和智能服务终端分布宽度优势，实行更多政务服务进银行网点，拓展政务服务受理渠道，为群众打造身边“微型政务服务大厅”。深化无人工干预自动智能审批，结合</w:t>
      </w:r>
      <w:r>
        <w:rPr>
          <w:rFonts w:hint="eastAsia"/>
        </w:rPr>
        <w:t>5G</w:t>
      </w:r>
      <w:r>
        <w:rPr>
          <w:rFonts w:hint="eastAsia"/>
        </w:rPr>
        <w:t>网络、人脸识别等技术，建设</w:t>
      </w:r>
      <w:r>
        <w:rPr>
          <w:rFonts w:hint="eastAsia"/>
        </w:rPr>
        <w:t>5G</w:t>
      </w:r>
      <w:r>
        <w:rPr>
          <w:rFonts w:hint="eastAsia"/>
        </w:rPr>
        <w:t>无人值守智慧政务小屋，推进线上线下融合，为企业群众提供远程视频咨询导办等服务，把政务服务应用与新技术搭建到“群众身边”。</w:t>
      </w:r>
    </w:p>
    <w:tbl>
      <w:tblPr>
        <w:tblStyle w:val="ab"/>
        <w:tblW w:w="8296" w:type="dxa"/>
        <w:tblLayout w:type="fixed"/>
        <w:tblLook w:val="04A0" w:firstRow="1" w:lastRow="0" w:firstColumn="1" w:lastColumn="0" w:noHBand="0" w:noVBand="1"/>
      </w:tblPr>
      <w:tblGrid>
        <w:gridCol w:w="8296"/>
      </w:tblGrid>
      <w:tr w:rsidR="00E51332">
        <w:tc>
          <w:tcPr>
            <w:tcW w:w="8296" w:type="dxa"/>
          </w:tcPr>
          <w:p w:rsidR="00E51332" w:rsidRDefault="00B767C7">
            <w:pPr>
              <w:spacing w:line="384" w:lineRule="auto"/>
              <w:ind w:firstLineChars="0" w:firstLine="0"/>
              <w:jc w:val="center"/>
              <w:rPr>
                <w:rFonts w:eastAsia="黑体"/>
                <w:kern w:val="0"/>
                <w:sz w:val="28"/>
                <w:szCs w:val="20"/>
              </w:rPr>
            </w:pPr>
            <w:r>
              <w:rPr>
                <w:rFonts w:eastAsia="黑体"/>
                <w:kern w:val="0"/>
                <w:sz w:val="28"/>
                <w:szCs w:val="20"/>
              </w:rPr>
              <w:t>专栏</w:t>
            </w:r>
            <w:r>
              <w:rPr>
                <w:rFonts w:eastAsia="黑体"/>
                <w:kern w:val="0"/>
                <w:sz w:val="28"/>
                <w:szCs w:val="20"/>
              </w:rPr>
              <w:t xml:space="preserve">2 </w:t>
            </w:r>
            <w:r>
              <w:rPr>
                <w:rFonts w:eastAsia="黑体"/>
                <w:kern w:val="0"/>
                <w:sz w:val="28"/>
                <w:szCs w:val="20"/>
              </w:rPr>
              <w:t>政务</w:t>
            </w:r>
            <w:r>
              <w:rPr>
                <w:rFonts w:eastAsia="黑体" w:hint="eastAsia"/>
                <w:kern w:val="0"/>
                <w:sz w:val="28"/>
                <w:szCs w:val="20"/>
              </w:rPr>
              <w:t>服务渠道</w:t>
            </w:r>
            <w:r>
              <w:rPr>
                <w:rFonts w:eastAsia="黑体"/>
                <w:kern w:val="0"/>
                <w:sz w:val="28"/>
                <w:szCs w:val="20"/>
              </w:rPr>
              <w:t>重点</w:t>
            </w:r>
            <w:r>
              <w:rPr>
                <w:rFonts w:eastAsia="黑体" w:hint="eastAsia"/>
                <w:kern w:val="0"/>
                <w:sz w:val="28"/>
                <w:szCs w:val="20"/>
              </w:rPr>
              <w:t>项目</w:t>
            </w:r>
          </w:p>
        </w:tc>
      </w:tr>
      <w:tr w:rsidR="00E51332">
        <w:tc>
          <w:tcPr>
            <w:tcW w:w="8296" w:type="dxa"/>
          </w:tcPr>
          <w:p w:rsidR="00E51332" w:rsidRDefault="00B767C7">
            <w:pPr>
              <w:snapToGrid w:val="0"/>
              <w:spacing w:line="480" w:lineRule="exact"/>
              <w:ind w:firstLine="560"/>
              <w:rPr>
                <w:rFonts w:ascii="仿宋_GB2312"/>
                <w:kern w:val="0"/>
                <w:sz w:val="28"/>
                <w:szCs w:val="24"/>
              </w:rPr>
            </w:pPr>
            <w:r>
              <w:rPr>
                <w:rFonts w:eastAsia="楷体_GB2312" w:hint="eastAsia"/>
                <w:kern w:val="0"/>
                <w:sz w:val="28"/>
                <w:szCs w:val="24"/>
              </w:rPr>
              <w:t>智慧政务小屋</w:t>
            </w:r>
            <w:r>
              <w:rPr>
                <w:rFonts w:eastAsia="楷体_GB2312"/>
                <w:kern w:val="0"/>
                <w:sz w:val="28"/>
                <w:szCs w:val="24"/>
              </w:rPr>
              <w:t>。</w:t>
            </w:r>
            <w:r>
              <w:rPr>
                <w:rFonts w:ascii="仿宋_GB2312" w:hint="eastAsia"/>
                <w:kern w:val="0"/>
                <w:sz w:val="28"/>
                <w:szCs w:val="24"/>
              </w:rPr>
              <w:t>结合5G网络、人脸识别等技术，建设5G无人值守智慧政务小屋，为企业群众提供远程视频咨询导办等服务，提升民众办事体验感。</w:t>
            </w:r>
          </w:p>
          <w:p w:rsidR="00E51332" w:rsidRDefault="00B767C7">
            <w:pPr>
              <w:snapToGrid w:val="0"/>
              <w:spacing w:after="240" w:line="480" w:lineRule="exact"/>
              <w:ind w:firstLine="560"/>
              <w:rPr>
                <w:rFonts w:eastAsia="楷体_GB2312"/>
                <w:kern w:val="0"/>
                <w:sz w:val="28"/>
                <w:szCs w:val="24"/>
              </w:rPr>
            </w:pPr>
            <w:r>
              <w:rPr>
                <w:rFonts w:eastAsia="楷体_GB2312" w:hint="eastAsia"/>
                <w:kern w:val="0"/>
                <w:sz w:val="28"/>
                <w:szCs w:val="24"/>
              </w:rPr>
              <w:t>移动办事平台。</w:t>
            </w:r>
            <w:r>
              <w:rPr>
                <w:rFonts w:ascii="仿宋_GB2312" w:hint="eastAsia"/>
                <w:kern w:val="0"/>
                <w:sz w:val="28"/>
                <w:szCs w:val="24"/>
              </w:rPr>
              <w:t>依托粤省事、粤商通、江门易办事，整合部门面向企业及群众服务的移动App，丰富便民应用功能，实现企业和群众办事像</w:t>
            </w:r>
            <w:proofErr w:type="gramStart"/>
            <w:r>
              <w:rPr>
                <w:rFonts w:ascii="仿宋_GB2312" w:hint="eastAsia"/>
                <w:kern w:val="0"/>
                <w:sz w:val="28"/>
                <w:szCs w:val="24"/>
              </w:rPr>
              <w:t>网购一样</w:t>
            </w:r>
            <w:proofErr w:type="gramEnd"/>
            <w:r>
              <w:rPr>
                <w:rFonts w:ascii="仿宋_GB2312" w:hint="eastAsia"/>
                <w:kern w:val="0"/>
                <w:sz w:val="28"/>
                <w:szCs w:val="24"/>
              </w:rPr>
              <w:t>方便。</w:t>
            </w:r>
          </w:p>
        </w:tc>
      </w:tr>
    </w:tbl>
    <w:p w:rsidR="00E51332" w:rsidRDefault="00B767C7">
      <w:pPr>
        <w:pStyle w:val="3"/>
        <w:ind w:firstLine="643"/>
      </w:pPr>
      <w:r>
        <w:rPr>
          <w:rFonts w:hint="eastAsia"/>
        </w:rPr>
        <w:t>深化便民服务应用。</w:t>
      </w:r>
    </w:p>
    <w:p w:rsidR="00E51332" w:rsidRDefault="00B767C7">
      <w:pPr>
        <w:ind w:firstLine="643"/>
      </w:pPr>
      <w:r>
        <w:rPr>
          <w:rFonts w:hint="eastAsia"/>
          <w:b/>
          <w:bCs/>
        </w:rPr>
        <w:t>（</w:t>
      </w:r>
      <w:r>
        <w:rPr>
          <w:b/>
          <w:bCs/>
        </w:rPr>
        <w:t>1</w:t>
      </w:r>
      <w:r>
        <w:rPr>
          <w:rFonts w:hint="eastAsia"/>
          <w:b/>
          <w:bCs/>
        </w:rPr>
        <w:t>）推动数字医疗建设</w:t>
      </w:r>
      <w:r>
        <w:rPr>
          <w:rFonts w:hint="eastAsia"/>
        </w:rPr>
        <w:t>。建设互联网健康医疗服务模式，规范和推动“互联网</w:t>
      </w:r>
      <w:r>
        <w:rPr>
          <w:rFonts w:hint="eastAsia"/>
        </w:rPr>
        <w:t>+</w:t>
      </w:r>
      <w:r>
        <w:rPr>
          <w:rFonts w:hint="eastAsia"/>
        </w:rPr>
        <w:t>健康医疗</w:t>
      </w:r>
      <w:r>
        <w:rPr>
          <w:rFonts w:hint="eastAsia"/>
        </w:rPr>
        <w:t>+</w:t>
      </w:r>
      <w:r>
        <w:rPr>
          <w:rFonts w:hint="eastAsia"/>
        </w:rPr>
        <w:t>三</w:t>
      </w:r>
      <w:proofErr w:type="gramStart"/>
      <w:r>
        <w:rPr>
          <w:rFonts w:hint="eastAsia"/>
        </w:rPr>
        <w:t>医</w:t>
      </w:r>
      <w:proofErr w:type="gramEnd"/>
      <w:r>
        <w:rPr>
          <w:rFonts w:hint="eastAsia"/>
        </w:rPr>
        <w:t>联动”服务，搭建区域级互联网医疗服务门户，持续推进覆盖健康管理全生命周期一体化市民健康信息服务，通过应用整合和数据整合实</w:t>
      </w:r>
      <w:r>
        <w:rPr>
          <w:rFonts w:hint="eastAsia"/>
        </w:rPr>
        <w:lastRenderedPageBreak/>
        <w:t>现区域医疗健康信息互联互通、应用协同。</w:t>
      </w:r>
      <w:proofErr w:type="gramStart"/>
      <w:r>
        <w:rPr>
          <w:rFonts w:hint="eastAsia"/>
        </w:rPr>
        <w:t>构建江</w:t>
      </w:r>
      <w:proofErr w:type="gramEnd"/>
      <w:r>
        <w:rPr>
          <w:rFonts w:hint="eastAsia"/>
        </w:rPr>
        <w:t>门市医疗健康大数据体系，提炼“健康江门指数”，探索建设疾病预警机制、居民健康感知服务、健康和疾病大数据画像等智慧型应用，利用</w:t>
      </w:r>
      <w:proofErr w:type="gramStart"/>
      <w:r>
        <w:rPr>
          <w:rFonts w:hint="eastAsia"/>
        </w:rPr>
        <w:t>健康决策</w:t>
      </w:r>
      <w:proofErr w:type="gramEnd"/>
      <w:r>
        <w:rPr>
          <w:rFonts w:hint="eastAsia"/>
        </w:rPr>
        <w:t>感知平台、城市医疗风险地图等在内的</w:t>
      </w:r>
      <w:r>
        <w:rPr>
          <w:rFonts w:hint="eastAsia"/>
        </w:rPr>
        <w:t>3D</w:t>
      </w:r>
      <w:r>
        <w:rPr>
          <w:rFonts w:hint="eastAsia"/>
        </w:rPr>
        <w:t>可视化展现平台，助力全面监管和精细化管理，实现数据驱动决策，推进科研创新开放平台、大健康产业落地。</w:t>
      </w:r>
    </w:p>
    <w:p w:rsidR="00E51332" w:rsidRDefault="00B767C7">
      <w:pPr>
        <w:ind w:firstLine="643"/>
      </w:pPr>
      <w:r>
        <w:rPr>
          <w:rFonts w:hint="eastAsia"/>
          <w:b/>
          <w:bCs/>
        </w:rPr>
        <w:t>（</w:t>
      </w:r>
      <w:r>
        <w:rPr>
          <w:b/>
          <w:bCs/>
        </w:rPr>
        <w:t>2</w:t>
      </w:r>
      <w:r>
        <w:rPr>
          <w:rFonts w:hint="eastAsia"/>
          <w:b/>
          <w:bCs/>
        </w:rPr>
        <w:t>）推动数字教育建设</w:t>
      </w:r>
      <w:r>
        <w:rPr>
          <w:rFonts w:hint="eastAsia"/>
        </w:rPr>
        <w:t>。积极发展“互联网</w:t>
      </w:r>
      <w:r>
        <w:rPr>
          <w:rFonts w:hint="eastAsia"/>
        </w:rPr>
        <w:t>+</w:t>
      </w:r>
      <w:r>
        <w:rPr>
          <w:rFonts w:hint="eastAsia"/>
        </w:rPr>
        <w:t>”大平台，建设教育应用和资源平台，教育</w:t>
      </w:r>
      <w:r>
        <w:rPr>
          <w:rFonts w:hint="eastAsia"/>
        </w:rPr>
        <w:t>AI</w:t>
      </w:r>
      <w:r>
        <w:rPr>
          <w:rFonts w:hint="eastAsia"/>
        </w:rPr>
        <w:t>能力平台以及教育大数据平台，优化组织机构，为教育局、学校开展教育业务管理和决策分析提供系统支撑，推动教学质量提升，促进教育均衡发展。提高优质教育应用、优质教学资源、优秀师资、教育数据的有效共享，促进信息技术与教育深度融合。开展区域</w:t>
      </w:r>
      <w:r>
        <w:rPr>
          <w:rFonts w:hint="eastAsia"/>
        </w:rPr>
        <w:t>5G</w:t>
      </w:r>
      <w:r>
        <w:rPr>
          <w:rFonts w:hint="eastAsia"/>
        </w:rPr>
        <w:t>无线网络以及高速有线网络覆盖建设，保障教学资源联通，为远程教研、应急指挥、跨校区校园安全管理等场景提供基础支持。推进智慧型教室建设，打造“双师课堂、专递课堂、名校课堂”，探索为江门市学生提供多环境、多途径的学习空间。</w:t>
      </w:r>
    </w:p>
    <w:p w:rsidR="00E51332" w:rsidRDefault="00B767C7">
      <w:pPr>
        <w:ind w:firstLine="643"/>
      </w:pPr>
      <w:r>
        <w:rPr>
          <w:rFonts w:hint="eastAsia"/>
          <w:b/>
          <w:bCs/>
        </w:rPr>
        <w:t>（</w:t>
      </w:r>
      <w:r w:rsidR="008517A1">
        <w:rPr>
          <w:rFonts w:hint="eastAsia"/>
          <w:b/>
          <w:bCs/>
        </w:rPr>
        <w:t>3</w:t>
      </w:r>
      <w:r>
        <w:rPr>
          <w:rFonts w:hint="eastAsia"/>
          <w:b/>
          <w:bCs/>
        </w:rPr>
        <w:t>）推动数字养老助残建设</w:t>
      </w:r>
      <w:r>
        <w:rPr>
          <w:rFonts w:hint="eastAsia"/>
        </w:rPr>
        <w:t>。建设</w:t>
      </w:r>
      <w:proofErr w:type="gramStart"/>
      <w:r>
        <w:rPr>
          <w:rFonts w:hint="eastAsia"/>
        </w:rPr>
        <w:t>完善康养</w:t>
      </w:r>
      <w:proofErr w:type="gramEnd"/>
      <w:r>
        <w:rPr>
          <w:rFonts w:hint="eastAsia"/>
        </w:rPr>
        <w:t>产业互联网平台服务体系，结合物联网设备，为老年人、残疾人提供测、防、</w:t>
      </w:r>
      <w:proofErr w:type="gramStart"/>
      <w:r>
        <w:rPr>
          <w:rFonts w:hint="eastAsia"/>
        </w:rPr>
        <w:t>医</w:t>
      </w:r>
      <w:proofErr w:type="gramEnd"/>
      <w:r>
        <w:rPr>
          <w:rFonts w:hint="eastAsia"/>
        </w:rPr>
        <w:t>、护、康为一体的健康解决方案。建立</w:t>
      </w:r>
      <w:proofErr w:type="gramStart"/>
      <w:r>
        <w:rPr>
          <w:rFonts w:hint="eastAsia"/>
        </w:rPr>
        <w:t>医康养数据</w:t>
      </w:r>
      <w:proofErr w:type="gramEnd"/>
      <w:r>
        <w:rPr>
          <w:rFonts w:hint="eastAsia"/>
        </w:rPr>
        <w:t>中心，全面整合老年人、残疾人医疗、养老、康复、护理、膳食、社工服务数据，形成以人为中心的</w:t>
      </w:r>
      <w:r w:rsidR="008517A1">
        <w:rPr>
          <w:rFonts w:hint="eastAsia"/>
        </w:rPr>
        <w:t>“</w:t>
      </w:r>
      <w:r>
        <w:rPr>
          <w:rFonts w:hint="eastAsia"/>
        </w:rPr>
        <w:t xml:space="preserve">360 </w:t>
      </w:r>
      <w:r>
        <w:rPr>
          <w:rFonts w:hint="eastAsia"/>
        </w:rPr>
        <w:t>健康视图</w:t>
      </w:r>
      <w:r w:rsidR="008517A1">
        <w:rPr>
          <w:rFonts w:hint="eastAsia"/>
        </w:rPr>
        <w:t>”</w:t>
      </w:r>
      <w:r>
        <w:rPr>
          <w:rFonts w:hint="eastAsia"/>
        </w:rPr>
        <w:t>。建设智慧化体检康复综合平台，向老年人、残疾人提供自助</w:t>
      </w:r>
      <w:r>
        <w:rPr>
          <w:rFonts w:hint="eastAsia"/>
        </w:rPr>
        <w:lastRenderedPageBreak/>
        <w:t>式健康体检康复服务、移动化体征采集设备等服务，实现</w:t>
      </w:r>
      <w:proofErr w:type="gramStart"/>
      <w:r>
        <w:rPr>
          <w:rFonts w:hint="eastAsia"/>
        </w:rPr>
        <w:t>医康养</w:t>
      </w:r>
      <w:proofErr w:type="gramEnd"/>
      <w:r>
        <w:rPr>
          <w:rFonts w:hint="eastAsia"/>
        </w:rPr>
        <w:t>的一体化结合。建设对患者</w:t>
      </w:r>
      <w:proofErr w:type="gramStart"/>
      <w:r>
        <w:rPr>
          <w:rFonts w:hint="eastAsia"/>
        </w:rPr>
        <w:t>医</w:t>
      </w:r>
      <w:proofErr w:type="gramEnd"/>
      <w:r>
        <w:rPr>
          <w:rFonts w:hint="eastAsia"/>
        </w:rPr>
        <w:t>养护一体化的服务闭环管理平台，提供老年人、残疾人及其他有需要人士健康监测数据、生活照料、健康管理等功能服务。</w:t>
      </w:r>
    </w:p>
    <w:p w:rsidR="00E51332" w:rsidRDefault="00B767C7">
      <w:pPr>
        <w:ind w:firstLine="643"/>
      </w:pPr>
      <w:r>
        <w:rPr>
          <w:rFonts w:hint="eastAsia"/>
          <w:b/>
          <w:bCs/>
        </w:rPr>
        <w:t>（</w:t>
      </w:r>
      <w:r w:rsidR="008517A1">
        <w:rPr>
          <w:rFonts w:hint="eastAsia"/>
          <w:b/>
          <w:bCs/>
        </w:rPr>
        <w:t>4</w:t>
      </w:r>
      <w:r>
        <w:rPr>
          <w:rFonts w:hint="eastAsia"/>
          <w:b/>
          <w:bCs/>
        </w:rPr>
        <w:t>）推动数字</w:t>
      </w:r>
      <w:proofErr w:type="gramStart"/>
      <w:r>
        <w:rPr>
          <w:rFonts w:hint="eastAsia"/>
          <w:b/>
          <w:bCs/>
        </w:rPr>
        <w:t>医</w:t>
      </w:r>
      <w:proofErr w:type="gramEnd"/>
      <w:r>
        <w:rPr>
          <w:rFonts w:hint="eastAsia"/>
          <w:b/>
          <w:bCs/>
        </w:rPr>
        <w:t>保建设</w:t>
      </w:r>
      <w:r>
        <w:rPr>
          <w:rFonts w:hint="eastAsia"/>
        </w:rPr>
        <w:t>。持续推进“互联网</w:t>
      </w:r>
      <w:r>
        <w:rPr>
          <w:rFonts w:hint="eastAsia"/>
        </w:rPr>
        <w:t>+</w:t>
      </w:r>
      <w:proofErr w:type="gramStart"/>
      <w:r>
        <w:rPr>
          <w:rFonts w:hint="eastAsia"/>
        </w:rPr>
        <w:t>医</w:t>
      </w:r>
      <w:proofErr w:type="gramEnd"/>
      <w:r>
        <w:rPr>
          <w:rFonts w:hint="eastAsia"/>
        </w:rPr>
        <w:t>保”建设，构建全方位、立体化、多渠道的</w:t>
      </w:r>
      <w:proofErr w:type="gramStart"/>
      <w:r>
        <w:rPr>
          <w:rFonts w:hint="eastAsia"/>
        </w:rPr>
        <w:t>医</w:t>
      </w:r>
      <w:proofErr w:type="gramEnd"/>
      <w:r>
        <w:rPr>
          <w:rFonts w:hint="eastAsia"/>
        </w:rPr>
        <w:t>保公共服务体系，实现</w:t>
      </w:r>
      <w:proofErr w:type="gramStart"/>
      <w:r>
        <w:rPr>
          <w:rFonts w:hint="eastAsia"/>
        </w:rPr>
        <w:t>医</w:t>
      </w:r>
      <w:proofErr w:type="gramEnd"/>
      <w:r>
        <w:rPr>
          <w:rFonts w:hint="eastAsia"/>
        </w:rPr>
        <w:t>保各类业务查询与经办的“一站到达、一站受理、一站办结”。构建多元化</w:t>
      </w:r>
      <w:proofErr w:type="gramStart"/>
      <w:r>
        <w:rPr>
          <w:rFonts w:hint="eastAsia"/>
        </w:rPr>
        <w:t>医</w:t>
      </w:r>
      <w:proofErr w:type="gramEnd"/>
      <w:r>
        <w:rPr>
          <w:rFonts w:hint="eastAsia"/>
        </w:rPr>
        <w:t>保支付体系，形成按病种付费为主的多元复合式</w:t>
      </w:r>
      <w:proofErr w:type="gramStart"/>
      <w:r>
        <w:rPr>
          <w:rFonts w:hint="eastAsia"/>
        </w:rPr>
        <w:t>医</w:t>
      </w:r>
      <w:proofErr w:type="gramEnd"/>
      <w:r>
        <w:rPr>
          <w:rFonts w:hint="eastAsia"/>
        </w:rPr>
        <w:t>保支付方式，适应医疗保障服务模式发展创新。推动</w:t>
      </w:r>
      <w:proofErr w:type="gramStart"/>
      <w:r>
        <w:rPr>
          <w:rFonts w:hint="eastAsia"/>
        </w:rPr>
        <w:t>医保数据</w:t>
      </w:r>
      <w:proofErr w:type="gramEnd"/>
      <w:r>
        <w:rPr>
          <w:rFonts w:hint="eastAsia"/>
        </w:rPr>
        <w:t>统一标准，加强</w:t>
      </w:r>
      <w:proofErr w:type="gramStart"/>
      <w:r>
        <w:rPr>
          <w:rFonts w:hint="eastAsia"/>
        </w:rPr>
        <w:t>医</w:t>
      </w:r>
      <w:proofErr w:type="gramEnd"/>
      <w:r>
        <w:rPr>
          <w:rFonts w:hint="eastAsia"/>
        </w:rPr>
        <w:t>保大数据分析应用，构建和完善</w:t>
      </w:r>
      <w:proofErr w:type="gramStart"/>
      <w:r>
        <w:rPr>
          <w:rFonts w:hint="eastAsia"/>
        </w:rPr>
        <w:t>医</w:t>
      </w:r>
      <w:proofErr w:type="gramEnd"/>
      <w:r>
        <w:rPr>
          <w:rFonts w:hint="eastAsia"/>
        </w:rPr>
        <w:t>保宏观决策分析大数据能力体系。加强</w:t>
      </w:r>
      <w:proofErr w:type="gramStart"/>
      <w:r>
        <w:rPr>
          <w:rFonts w:hint="eastAsia"/>
        </w:rPr>
        <w:t>医</w:t>
      </w:r>
      <w:proofErr w:type="gramEnd"/>
      <w:r>
        <w:rPr>
          <w:rFonts w:hint="eastAsia"/>
        </w:rPr>
        <w:t>保基金监管能力建设，完善基金预算管理和风险预警防控体系，增强基金监督工作手段，实现</w:t>
      </w:r>
      <w:proofErr w:type="gramStart"/>
      <w:r>
        <w:rPr>
          <w:rFonts w:hint="eastAsia"/>
        </w:rPr>
        <w:t>医</w:t>
      </w:r>
      <w:proofErr w:type="gramEnd"/>
      <w:r>
        <w:rPr>
          <w:rFonts w:hint="eastAsia"/>
        </w:rPr>
        <w:t>保基金监管零盲区。</w:t>
      </w:r>
    </w:p>
    <w:p w:rsidR="00E51332" w:rsidRDefault="00B767C7">
      <w:pPr>
        <w:ind w:firstLine="643"/>
      </w:pPr>
      <w:r>
        <w:rPr>
          <w:rFonts w:hint="eastAsia"/>
          <w:b/>
          <w:bCs/>
        </w:rPr>
        <w:t>（</w:t>
      </w:r>
      <w:r w:rsidR="008517A1">
        <w:rPr>
          <w:rFonts w:hint="eastAsia"/>
          <w:b/>
          <w:bCs/>
        </w:rPr>
        <w:t>5</w:t>
      </w:r>
      <w:r>
        <w:rPr>
          <w:rFonts w:hint="eastAsia"/>
          <w:b/>
          <w:bCs/>
        </w:rPr>
        <w:t>）推动</w:t>
      </w:r>
      <w:proofErr w:type="gramStart"/>
      <w:r>
        <w:rPr>
          <w:rFonts w:hint="eastAsia"/>
          <w:b/>
          <w:bCs/>
        </w:rPr>
        <w:t>数字人社建设</w:t>
      </w:r>
      <w:proofErr w:type="gramEnd"/>
      <w:r>
        <w:rPr>
          <w:rFonts w:hint="eastAsia"/>
        </w:rPr>
        <w:t>。基于“互联网</w:t>
      </w:r>
      <w:r>
        <w:rPr>
          <w:rFonts w:hint="eastAsia"/>
        </w:rPr>
        <w:t>+</w:t>
      </w:r>
      <w:r>
        <w:rPr>
          <w:rFonts w:hint="eastAsia"/>
        </w:rPr>
        <w:t>社保</w:t>
      </w:r>
      <w:r>
        <w:rPr>
          <w:rFonts w:hint="eastAsia"/>
        </w:rPr>
        <w:t>+</w:t>
      </w:r>
      <w:r>
        <w:rPr>
          <w:rFonts w:hint="eastAsia"/>
        </w:rPr>
        <w:t>就业</w:t>
      </w:r>
      <w:r>
        <w:rPr>
          <w:rFonts w:hint="eastAsia"/>
        </w:rPr>
        <w:t>+</w:t>
      </w:r>
      <w:r>
        <w:rPr>
          <w:rFonts w:hint="eastAsia"/>
        </w:rPr>
        <w:t>服务”的理念打造面向市民和企业的人力资源和社会保障公共服务平台，为广大使用者提供社保、求职、招聘、业务咨询等全方位、一体化的公共服务。通过内控稽核、基金监管系统建设，增强基金监督工作手段，提高基金监督工作效率和社会保险基金风险防控能力。通过就业管理、人才服务系统的建设，打造标准化、流程化、便捷化</w:t>
      </w:r>
      <w:proofErr w:type="gramStart"/>
      <w:r>
        <w:rPr>
          <w:rFonts w:hint="eastAsia"/>
        </w:rPr>
        <w:t>的人社经办</w:t>
      </w:r>
      <w:proofErr w:type="gramEnd"/>
      <w:r>
        <w:rPr>
          <w:rFonts w:hint="eastAsia"/>
        </w:rPr>
        <w:t>体系，提高业务经办的效率和经办水平。</w:t>
      </w:r>
    </w:p>
    <w:p w:rsidR="00E51332" w:rsidRDefault="00B767C7">
      <w:pPr>
        <w:ind w:firstLine="643"/>
      </w:pPr>
      <w:r>
        <w:rPr>
          <w:rFonts w:hint="eastAsia"/>
          <w:b/>
          <w:bCs/>
        </w:rPr>
        <w:t>（</w:t>
      </w:r>
      <w:r w:rsidR="008517A1">
        <w:rPr>
          <w:rFonts w:hint="eastAsia"/>
          <w:b/>
          <w:bCs/>
        </w:rPr>
        <w:t>6</w:t>
      </w:r>
      <w:r>
        <w:rPr>
          <w:rFonts w:hint="eastAsia"/>
          <w:b/>
          <w:bCs/>
        </w:rPr>
        <w:t>）推动数字社区建设</w:t>
      </w:r>
      <w:r>
        <w:rPr>
          <w:rFonts w:hint="eastAsia"/>
        </w:rPr>
        <w:t>。深化平安社区建设，整合社区内外部资源，打造和睦共治、绿色集约、智慧共享的新一</w:t>
      </w:r>
      <w:r>
        <w:rPr>
          <w:rFonts w:hint="eastAsia"/>
        </w:rPr>
        <w:lastRenderedPageBreak/>
        <w:t>代智慧型社区。拓宽社区信息公开渠道，保障社区居民的知情权、参与权、决策权和监督权。搭建社区政务服务应用，深入推行一窗受理、全程代办、服务承诺等制度，使群众在家门口就能办事。利用物联网、人工智能技术，开展精准垃圾分类管理，激励引导居民参与垃圾分类。构建社区生活服务应用，引导社区居民密切日常交往、参与公共事务、组织邻里互助，为小区居民提供便利生活。深化基层社会治理，建设社会风险管控系统，包括社会治理预警和实时态势“一张图”、</w:t>
      </w:r>
      <w:r>
        <w:rPr>
          <w:rFonts w:hint="eastAsia"/>
        </w:rPr>
        <w:t xml:space="preserve"> </w:t>
      </w:r>
      <w:r>
        <w:rPr>
          <w:rFonts w:hint="eastAsia"/>
        </w:rPr>
        <w:t>社区矛盾调解、智慧平安小区平台等内容，形成“互联网</w:t>
      </w:r>
      <w:r>
        <w:rPr>
          <w:rFonts w:hint="eastAsia"/>
        </w:rPr>
        <w:t>+</w:t>
      </w:r>
      <w:r>
        <w:rPr>
          <w:rFonts w:hint="eastAsia"/>
        </w:rPr>
        <w:t>社区”的智慧化社区治理创新模式，全面提升社区安全、自治和便民服务能力。</w:t>
      </w:r>
    </w:p>
    <w:p w:rsidR="00E51332" w:rsidRDefault="00B767C7">
      <w:pPr>
        <w:ind w:firstLine="643"/>
      </w:pPr>
      <w:r>
        <w:rPr>
          <w:rFonts w:hint="eastAsia"/>
          <w:b/>
          <w:bCs/>
        </w:rPr>
        <w:t>（</w:t>
      </w:r>
      <w:r w:rsidR="008517A1">
        <w:rPr>
          <w:rFonts w:hint="eastAsia"/>
          <w:b/>
          <w:bCs/>
        </w:rPr>
        <w:t>7</w:t>
      </w:r>
      <w:r>
        <w:rPr>
          <w:rFonts w:hint="eastAsia"/>
          <w:b/>
          <w:bCs/>
        </w:rPr>
        <w:t>）推动公共文化服务数字化建设</w:t>
      </w:r>
      <w:r>
        <w:rPr>
          <w:rFonts w:hint="eastAsia"/>
        </w:rPr>
        <w:t>。深化江门公共文化云项目，向上打通省、国家公共文化服务中心，向下打通三区四市。推进智慧博物馆、中国传统村落数字博物馆、历史建筑信息数据库、智能图书馆、数字美术馆、数字文化馆建设，使我市公共文化服务更加信息化、数字化、智能化。</w:t>
      </w:r>
    </w:p>
    <w:tbl>
      <w:tblPr>
        <w:tblStyle w:val="ab"/>
        <w:tblW w:w="8296" w:type="dxa"/>
        <w:tblLayout w:type="fixed"/>
        <w:tblLook w:val="04A0" w:firstRow="1" w:lastRow="0" w:firstColumn="1" w:lastColumn="0" w:noHBand="0" w:noVBand="1"/>
      </w:tblPr>
      <w:tblGrid>
        <w:gridCol w:w="8296"/>
      </w:tblGrid>
      <w:tr w:rsidR="00E51332">
        <w:tc>
          <w:tcPr>
            <w:tcW w:w="8296" w:type="dxa"/>
          </w:tcPr>
          <w:p w:rsidR="00E51332" w:rsidRDefault="00B767C7">
            <w:pPr>
              <w:spacing w:line="384" w:lineRule="auto"/>
              <w:ind w:firstLineChars="0" w:firstLine="0"/>
              <w:jc w:val="center"/>
              <w:rPr>
                <w:rFonts w:eastAsia="黑体"/>
                <w:kern w:val="0"/>
                <w:sz w:val="28"/>
                <w:szCs w:val="20"/>
              </w:rPr>
            </w:pPr>
            <w:r>
              <w:rPr>
                <w:rFonts w:eastAsia="黑体"/>
                <w:kern w:val="0"/>
                <w:sz w:val="28"/>
                <w:szCs w:val="20"/>
              </w:rPr>
              <w:t>专栏</w:t>
            </w:r>
            <w:r>
              <w:rPr>
                <w:rFonts w:eastAsia="黑体"/>
                <w:kern w:val="0"/>
                <w:sz w:val="28"/>
                <w:szCs w:val="20"/>
              </w:rPr>
              <w:t>3</w:t>
            </w:r>
            <w:r w:rsidR="006D530E">
              <w:rPr>
                <w:rFonts w:eastAsia="黑体" w:hint="eastAsia"/>
                <w:kern w:val="0"/>
                <w:sz w:val="28"/>
                <w:szCs w:val="20"/>
              </w:rPr>
              <w:t>便民</w:t>
            </w:r>
            <w:r w:rsidR="006D530E">
              <w:rPr>
                <w:rFonts w:eastAsia="黑体"/>
                <w:kern w:val="0"/>
                <w:sz w:val="28"/>
                <w:szCs w:val="20"/>
              </w:rPr>
              <w:t>服务</w:t>
            </w:r>
            <w:r w:rsidR="006D530E">
              <w:rPr>
                <w:rFonts w:eastAsia="黑体" w:hint="eastAsia"/>
                <w:kern w:val="0"/>
                <w:sz w:val="28"/>
                <w:szCs w:val="20"/>
              </w:rPr>
              <w:t>应用</w:t>
            </w:r>
            <w:r w:rsidR="006D530E">
              <w:rPr>
                <w:rFonts w:eastAsia="黑体"/>
                <w:kern w:val="0"/>
                <w:sz w:val="28"/>
                <w:szCs w:val="20"/>
              </w:rPr>
              <w:t>重点</w:t>
            </w:r>
            <w:r w:rsidR="006D530E">
              <w:rPr>
                <w:rFonts w:eastAsia="黑体" w:hint="eastAsia"/>
                <w:kern w:val="0"/>
                <w:sz w:val="28"/>
                <w:szCs w:val="20"/>
              </w:rPr>
              <w:t>项目</w:t>
            </w:r>
          </w:p>
        </w:tc>
      </w:tr>
      <w:tr w:rsidR="00E51332">
        <w:tc>
          <w:tcPr>
            <w:tcW w:w="8296" w:type="dxa"/>
          </w:tcPr>
          <w:p w:rsidR="00E51332" w:rsidRDefault="00B767C7">
            <w:pPr>
              <w:snapToGrid w:val="0"/>
              <w:spacing w:line="480" w:lineRule="exact"/>
              <w:ind w:firstLine="560"/>
              <w:rPr>
                <w:rFonts w:ascii="仿宋_GB2312"/>
                <w:kern w:val="0"/>
                <w:sz w:val="28"/>
                <w:szCs w:val="24"/>
              </w:rPr>
            </w:pPr>
            <w:r>
              <w:rPr>
                <w:rFonts w:eastAsia="楷体_GB2312" w:hint="eastAsia"/>
                <w:kern w:val="0"/>
                <w:sz w:val="28"/>
                <w:szCs w:val="24"/>
              </w:rPr>
              <w:t>数字医疗工程。</w:t>
            </w:r>
            <w:r>
              <w:rPr>
                <w:rFonts w:ascii="仿宋_GB2312" w:hint="eastAsia"/>
                <w:kern w:val="0"/>
                <w:sz w:val="28"/>
                <w:szCs w:val="24"/>
              </w:rPr>
              <w:t>完善区域卫生信息平台和区域医疗电子认证（CA），建设全市医学影像云中心。构建公共卫生应急管理体系，实现疫情防控的“先知、先决、先行”。</w:t>
            </w:r>
          </w:p>
          <w:p w:rsidR="00E51332" w:rsidRDefault="00B767C7">
            <w:pPr>
              <w:snapToGrid w:val="0"/>
              <w:spacing w:line="480" w:lineRule="exact"/>
              <w:ind w:firstLine="560"/>
              <w:rPr>
                <w:rFonts w:ascii="仿宋_GB2312"/>
                <w:kern w:val="0"/>
                <w:sz w:val="28"/>
                <w:szCs w:val="24"/>
              </w:rPr>
            </w:pPr>
            <w:r>
              <w:rPr>
                <w:rFonts w:eastAsia="楷体_GB2312" w:hint="eastAsia"/>
                <w:kern w:val="0"/>
                <w:sz w:val="28"/>
                <w:szCs w:val="24"/>
              </w:rPr>
              <w:t>数字教育工程。</w:t>
            </w:r>
            <w:r>
              <w:rPr>
                <w:rFonts w:ascii="仿宋_GB2312" w:hint="eastAsia"/>
                <w:kern w:val="0"/>
                <w:sz w:val="28"/>
                <w:szCs w:val="24"/>
              </w:rPr>
              <w:t>开展5G网络以及高速有线网络校园建设，推进智慧型教室建设，拓展“互联网+教育”应用，</w:t>
            </w:r>
            <w:r>
              <w:rPr>
                <w:rFonts w:hint="eastAsia"/>
                <w:kern w:val="0"/>
                <w:sz w:val="28"/>
                <w:szCs w:val="24"/>
              </w:rPr>
              <w:t>建设完善全市智慧教育应用和资源平台，</w:t>
            </w:r>
            <w:r>
              <w:rPr>
                <w:rFonts w:ascii="仿宋_GB2312" w:hint="eastAsia"/>
                <w:kern w:val="0"/>
                <w:sz w:val="28"/>
                <w:szCs w:val="24"/>
              </w:rPr>
              <w:t>引导优质教学资源、优秀师资、高质量教材教案在教育网共享，推动教学质量提升。</w:t>
            </w:r>
          </w:p>
          <w:p w:rsidR="00E51332" w:rsidRPr="002B59AE" w:rsidRDefault="00B767C7">
            <w:pPr>
              <w:snapToGrid w:val="0"/>
              <w:spacing w:line="480" w:lineRule="exact"/>
              <w:ind w:firstLine="560"/>
              <w:rPr>
                <w:rFonts w:ascii="仿宋_GB2312"/>
                <w:kern w:val="0"/>
                <w:sz w:val="28"/>
              </w:rPr>
            </w:pPr>
            <w:r>
              <w:rPr>
                <w:rFonts w:eastAsia="楷体_GB2312" w:hint="eastAsia"/>
                <w:kern w:val="0"/>
                <w:sz w:val="28"/>
                <w:szCs w:val="24"/>
              </w:rPr>
              <w:lastRenderedPageBreak/>
              <w:t>数字养老工程。</w:t>
            </w:r>
            <w:r>
              <w:rPr>
                <w:rFonts w:ascii="仿宋_GB2312" w:hint="eastAsia"/>
                <w:kern w:val="0"/>
                <w:sz w:val="28"/>
                <w:szCs w:val="24"/>
              </w:rPr>
              <w:t>建设</w:t>
            </w:r>
            <w:proofErr w:type="gramStart"/>
            <w:r>
              <w:rPr>
                <w:rFonts w:ascii="仿宋_GB2312" w:hint="eastAsia"/>
                <w:kern w:val="0"/>
                <w:sz w:val="28"/>
                <w:szCs w:val="24"/>
              </w:rPr>
              <w:t>政康养</w:t>
            </w:r>
            <w:proofErr w:type="gramEnd"/>
            <w:r>
              <w:rPr>
                <w:rFonts w:ascii="仿宋_GB2312" w:hint="eastAsia"/>
                <w:kern w:val="0"/>
                <w:sz w:val="28"/>
                <w:szCs w:val="24"/>
              </w:rPr>
              <w:t>产业互联网平台、</w:t>
            </w:r>
            <w:r>
              <w:rPr>
                <w:rFonts w:hint="eastAsia"/>
                <w:kern w:val="0"/>
                <w:sz w:val="28"/>
                <w:szCs w:val="24"/>
              </w:rPr>
              <w:t>老年人智慧化</w:t>
            </w:r>
            <w:proofErr w:type="gramStart"/>
            <w:r>
              <w:rPr>
                <w:rFonts w:hint="eastAsia"/>
                <w:kern w:val="0"/>
                <w:sz w:val="28"/>
                <w:szCs w:val="24"/>
              </w:rPr>
              <w:t>医</w:t>
            </w:r>
            <w:proofErr w:type="gramEnd"/>
            <w:r>
              <w:rPr>
                <w:rFonts w:hint="eastAsia"/>
                <w:kern w:val="0"/>
                <w:sz w:val="28"/>
                <w:szCs w:val="24"/>
              </w:rPr>
              <w:t>养大数据中心、</w:t>
            </w:r>
            <w:r>
              <w:rPr>
                <w:rFonts w:ascii="仿宋_GB2312" w:hint="eastAsia"/>
                <w:kern w:val="0"/>
                <w:sz w:val="28"/>
                <w:szCs w:val="24"/>
              </w:rPr>
              <w:t>老年人智慧体检平台、</w:t>
            </w:r>
            <w:proofErr w:type="gramStart"/>
            <w:r>
              <w:rPr>
                <w:rFonts w:ascii="仿宋_GB2312" w:hint="eastAsia"/>
                <w:kern w:val="0"/>
                <w:sz w:val="28"/>
                <w:szCs w:val="24"/>
              </w:rPr>
              <w:t>医</w:t>
            </w:r>
            <w:proofErr w:type="gramEnd"/>
            <w:r>
              <w:rPr>
                <w:rFonts w:ascii="仿宋_GB2312" w:hint="eastAsia"/>
                <w:kern w:val="0"/>
                <w:sz w:val="28"/>
                <w:szCs w:val="24"/>
              </w:rPr>
              <w:t>养护一体化平台</w:t>
            </w:r>
            <w:r>
              <w:rPr>
                <w:rFonts w:hint="eastAsia"/>
                <w:kern w:val="0"/>
                <w:sz w:val="28"/>
                <w:szCs w:val="24"/>
              </w:rPr>
              <w:t>，</w:t>
            </w:r>
            <w:r>
              <w:rPr>
                <w:rFonts w:ascii="仿宋_GB2312" w:hint="eastAsia"/>
                <w:kern w:val="0"/>
                <w:sz w:val="28"/>
                <w:szCs w:val="24"/>
              </w:rPr>
              <w:t>为老人提供测、防、</w:t>
            </w:r>
            <w:proofErr w:type="gramStart"/>
            <w:r>
              <w:rPr>
                <w:rFonts w:ascii="仿宋_GB2312" w:hint="eastAsia"/>
                <w:kern w:val="0"/>
                <w:sz w:val="28"/>
                <w:szCs w:val="24"/>
              </w:rPr>
              <w:t>医</w:t>
            </w:r>
            <w:proofErr w:type="gramEnd"/>
            <w:r>
              <w:rPr>
                <w:rFonts w:ascii="仿宋_GB2312" w:hint="eastAsia"/>
                <w:kern w:val="0"/>
                <w:sz w:val="28"/>
                <w:szCs w:val="24"/>
              </w:rPr>
              <w:t>、护、康于一体的健康解决方案。</w:t>
            </w:r>
          </w:p>
          <w:p w:rsidR="00E51332" w:rsidRDefault="00B767C7">
            <w:pPr>
              <w:snapToGrid w:val="0"/>
              <w:spacing w:line="480" w:lineRule="exact"/>
              <w:ind w:firstLine="560"/>
              <w:rPr>
                <w:rFonts w:ascii="仿宋_GB2312"/>
                <w:kern w:val="0"/>
                <w:sz w:val="28"/>
                <w:szCs w:val="24"/>
              </w:rPr>
            </w:pPr>
            <w:r>
              <w:rPr>
                <w:rFonts w:eastAsia="楷体_GB2312" w:hint="eastAsia"/>
                <w:kern w:val="0"/>
                <w:sz w:val="28"/>
                <w:szCs w:val="24"/>
              </w:rPr>
              <w:t>数字</w:t>
            </w:r>
            <w:proofErr w:type="gramStart"/>
            <w:r>
              <w:rPr>
                <w:rFonts w:eastAsia="楷体_GB2312" w:hint="eastAsia"/>
                <w:kern w:val="0"/>
                <w:sz w:val="28"/>
                <w:szCs w:val="24"/>
              </w:rPr>
              <w:t>医</w:t>
            </w:r>
            <w:proofErr w:type="gramEnd"/>
            <w:r>
              <w:rPr>
                <w:rFonts w:eastAsia="楷体_GB2312" w:hint="eastAsia"/>
                <w:kern w:val="0"/>
                <w:sz w:val="28"/>
                <w:szCs w:val="24"/>
              </w:rPr>
              <w:t>保工程。</w:t>
            </w:r>
            <w:r>
              <w:rPr>
                <w:rFonts w:ascii="仿宋_GB2312" w:hint="eastAsia"/>
                <w:kern w:val="0"/>
                <w:sz w:val="28"/>
                <w:szCs w:val="24"/>
              </w:rPr>
              <w:t>推进我市使用国家医疗保障信息平台的各项配套建设，提升待遇保障、医药服务管理、医药价格和招标采购、基金监管等方面数字化水平。推进“互联网</w:t>
            </w:r>
            <w:r>
              <w:rPr>
                <w:rFonts w:ascii="仿宋_GB2312"/>
                <w:kern w:val="0"/>
                <w:sz w:val="28"/>
                <w:szCs w:val="24"/>
              </w:rPr>
              <w:t>+</w:t>
            </w:r>
            <w:proofErr w:type="gramStart"/>
            <w:r>
              <w:rPr>
                <w:rFonts w:ascii="仿宋_GB2312" w:hint="eastAsia"/>
                <w:kern w:val="0"/>
                <w:sz w:val="28"/>
                <w:szCs w:val="24"/>
              </w:rPr>
              <w:t>医</w:t>
            </w:r>
            <w:proofErr w:type="gramEnd"/>
            <w:r>
              <w:rPr>
                <w:rFonts w:ascii="仿宋_GB2312" w:hint="eastAsia"/>
                <w:kern w:val="0"/>
                <w:sz w:val="28"/>
                <w:szCs w:val="24"/>
              </w:rPr>
              <w:t>保”创新，推动</w:t>
            </w:r>
            <w:proofErr w:type="gramStart"/>
            <w:r>
              <w:rPr>
                <w:rFonts w:ascii="仿宋_GB2312" w:hint="eastAsia"/>
                <w:kern w:val="0"/>
                <w:sz w:val="28"/>
                <w:szCs w:val="24"/>
              </w:rPr>
              <w:t>医保电子</w:t>
            </w:r>
            <w:proofErr w:type="gramEnd"/>
            <w:r>
              <w:rPr>
                <w:rFonts w:ascii="仿宋_GB2312" w:hint="eastAsia"/>
                <w:kern w:val="0"/>
                <w:sz w:val="28"/>
                <w:szCs w:val="24"/>
              </w:rPr>
              <w:t>凭证和移动支付应用，开展</w:t>
            </w:r>
            <w:proofErr w:type="gramStart"/>
            <w:r>
              <w:rPr>
                <w:rFonts w:ascii="仿宋_GB2312" w:hint="eastAsia"/>
                <w:kern w:val="0"/>
                <w:sz w:val="28"/>
                <w:szCs w:val="24"/>
              </w:rPr>
              <w:t>医</w:t>
            </w:r>
            <w:proofErr w:type="gramEnd"/>
            <w:r>
              <w:rPr>
                <w:rFonts w:ascii="仿宋_GB2312" w:hint="eastAsia"/>
                <w:kern w:val="0"/>
                <w:sz w:val="28"/>
                <w:szCs w:val="24"/>
              </w:rPr>
              <w:t>保大数据主题应用，打造</w:t>
            </w:r>
            <w:proofErr w:type="gramStart"/>
            <w:r>
              <w:rPr>
                <w:rFonts w:ascii="仿宋_GB2312" w:hint="eastAsia"/>
                <w:kern w:val="0"/>
                <w:sz w:val="28"/>
                <w:szCs w:val="24"/>
              </w:rPr>
              <w:t>医</w:t>
            </w:r>
            <w:proofErr w:type="gramEnd"/>
            <w:r>
              <w:rPr>
                <w:rFonts w:ascii="仿宋_GB2312" w:hint="eastAsia"/>
                <w:kern w:val="0"/>
                <w:sz w:val="28"/>
                <w:szCs w:val="24"/>
              </w:rPr>
              <w:t>保多元化支付平台，探索</w:t>
            </w:r>
            <w:r>
              <w:rPr>
                <w:rFonts w:ascii="仿宋_GB2312"/>
                <w:kern w:val="0"/>
                <w:sz w:val="28"/>
                <w:szCs w:val="24"/>
              </w:rPr>
              <w:t>DRGs</w:t>
            </w:r>
            <w:r>
              <w:rPr>
                <w:rFonts w:ascii="仿宋_GB2312" w:hint="eastAsia"/>
                <w:kern w:val="0"/>
                <w:sz w:val="28"/>
                <w:szCs w:val="24"/>
              </w:rPr>
              <w:t>、</w:t>
            </w:r>
            <w:r>
              <w:rPr>
                <w:rFonts w:ascii="仿宋_GB2312"/>
                <w:kern w:val="0"/>
                <w:sz w:val="28"/>
                <w:szCs w:val="24"/>
              </w:rPr>
              <w:t xml:space="preserve">DIP </w:t>
            </w:r>
            <w:r>
              <w:rPr>
                <w:rFonts w:ascii="仿宋_GB2312" w:hint="eastAsia"/>
                <w:kern w:val="0"/>
                <w:sz w:val="28"/>
                <w:szCs w:val="24"/>
              </w:rPr>
              <w:t>等支付方式改革。探索开展“区块链</w:t>
            </w:r>
            <w:r>
              <w:rPr>
                <w:rFonts w:ascii="仿宋_GB2312"/>
                <w:kern w:val="0"/>
                <w:sz w:val="28"/>
                <w:szCs w:val="24"/>
              </w:rPr>
              <w:t>+</w:t>
            </w:r>
            <w:r>
              <w:rPr>
                <w:rFonts w:ascii="仿宋_GB2312" w:hint="eastAsia"/>
                <w:kern w:val="0"/>
                <w:sz w:val="28"/>
                <w:szCs w:val="24"/>
              </w:rPr>
              <w:t>处方便捷购药”服务，建立健全</w:t>
            </w:r>
            <w:proofErr w:type="gramStart"/>
            <w:r>
              <w:rPr>
                <w:rFonts w:ascii="仿宋_GB2312" w:hint="eastAsia"/>
                <w:kern w:val="0"/>
                <w:sz w:val="28"/>
                <w:szCs w:val="24"/>
              </w:rPr>
              <w:t>医</w:t>
            </w:r>
            <w:proofErr w:type="gramEnd"/>
            <w:r>
              <w:rPr>
                <w:rFonts w:ascii="仿宋_GB2312" w:hint="eastAsia"/>
                <w:kern w:val="0"/>
                <w:sz w:val="28"/>
                <w:szCs w:val="24"/>
              </w:rPr>
              <w:t>保药品、耗材采购监管机制，实现</w:t>
            </w:r>
            <w:proofErr w:type="gramStart"/>
            <w:r>
              <w:rPr>
                <w:rFonts w:ascii="仿宋_GB2312" w:hint="eastAsia"/>
                <w:kern w:val="0"/>
                <w:sz w:val="28"/>
                <w:szCs w:val="24"/>
              </w:rPr>
              <w:t>医</w:t>
            </w:r>
            <w:proofErr w:type="gramEnd"/>
            <w:r>
              <w:rPr>
                <w:rFonts w:ascii="仿宋_GB2312" w:hint="eastAsia"/>
                <w:kern w:val="0"/>
                <w:sz w:val="28"/>
                <w:szCs w:val="24"/>
              </w:rPr>
              <w:t>保业务的全方位、精细化管理体系。</w:t>
            </w:r>
          </w:p>
          <w:p w:rsidR="00E51332" w:rsidRDefault="00B767C7">
            <w:pPr>
              <w:snapToGrid w:val="0"/>
              <w:spacing w:line="480" w:lineRule="exact"/>
              <w:ind w:firstLine="560"/>
              <w:rPr>
                <w:rFonts w:eastAsia="楷体_GB2312"/>
                <w:kern w:val="0"/>
                <w:sz w:val="28"/>
                <w:szCs w:val="24"/>
              </w:rPr>
            </w:pPr>
            <w:proofErr w:type="gramStart"/>
            <w:r>
              <w:rPr>
                <w:rFonts w:eastAsia="楷体_GB2312" w:hint="eastAsia"/>
                <w:kern w:val="0"/>
                <w:sz w:val="28"/>
                <w:szCs w:val="24"/>
              </w:rPr>
              <w:t>数字人社工程</w:t>
            </w:r>
            <w:proofErr w:type="gramEnd"/>
            <w:r>
              <w:rPr>
                <w:rFonts w:eastAsia="楷体_GB2312"/>
                <w:kern w:val="0"/>
                <w:sz w:val="28"/>
                <w:szCs w:val="24"/>
              </w:rPr>
              <w:t>。</w:t>
            </w:r>
            <w:r>
              <w:rPr>
                <w:rFonts w:ascii="仿宋_GB2312" w:hint="eastAsia"/>
                <w:kern w:val="0"/>
                <w:sz w:val="28"/>
                <w:szCs w:val="24"/>
              </w:rPr>
              <w:t>开展“一卡通”创新应用行动，</w:t>
            </w:r>
            <w:proofErr w:type="gramStart"/>
            <w:r>
              <w:rPr>
                <w:rFonts w:ascii="仿宋_GB2312" w:hint="eastAsia"/>
                <w:kern w:val="0"/>
                <w:sz w:val="28"/>
                <w:szCs w:val="24"/>
              </w:rPr>
              <w:t>深化第</w:t>
            </w:r>
            <w:proofErr w:type="gramEnd"/>
            <w:r>
              <w:rPr>
                <w:rFonts w:ascii="仿宋_GB2312" w:hint="eastAsia"/>
                <w:kern w:val="0"/>
                <w:sz w:val="28"/>
                <w:szCs w:val="24"/>
              </w:rPr>
              <w:t>三代社保卡“一卡通”应用，贯通实体社保卡</w:t>
            </w:r>
            <w:r w:rsidR="006D530E">
              <w:rPr>
                <w:rFonts w:ascii="仿宋_GB2312" w:hint="eastAsia"/>
                <w:kern w:val="0"/>
                <w:sz w:val="28"/>
                <w:szCs w:val="24"/>
              </w:rPr>
              <w:t>和</w:t>
            </w:r>
            <w:r>
              <w:rPr>
                <w:rFonts w:ascii="仿宋_GB2312" w:hint="eastAsia"/>
                <w:kern w:val="0"/>
                <w:sz w:val="28"/>
                <w:szCs w:val="24"/>
              </w:rPr>
              <w:t>电子社保卡的应用范围，探索粤港澳大湾区“一卡通”服务。开展“智慧服务”升级行动，建设就业创业智能服务应用和“一站式”人才服务，建设“区块链+电子劳动合同”信息平台，逐步推动电子劳动合同广泛应用</w:t>
            </w:r>
            <w:r w:rsidR="00B64C92">
              <w:rPr>
                <w:rFonts w:ascii="仿宋_GB2312" w:hint="eastAsia"/>
                <w:kern w:val="0"/>
                <w:sz w:val="28"/>
                <w:szCs w:val="24"/>
              </w:rPr>
              <w:t>和</w:t>
            </w:r>
            <w:r>
              <w:rPr>
                <w:rFonts w:ascii="仿宋_GB2312" w:hint="eastAsia"/>
                <w:kern w:val="0"/>
                <w:sz w:val="28"/>
                <w:szCs w:val="24"/>
              </w:rPr>
              <w:t>管理服务优化，实现劳动关系治理体系</w:t>
            </w:r>
            <w:r w:rsidR="00B64C92">
              <w:rPr>
                <w:rFonts w:ascii="仿宋_GB2312" w:hint="eastAsia"/>
                <w:kern w:val="0"/>
                <w:sz w:val="28"/>
                <w:szCs w:val="24"/>
              </w:rPr>
              <w:t>和</w:t>
            </w:r>
            <w:r>
              <w:rPr>
                <w:rFonts w:ascii="仿宋_GB2312" w:hint="eastAsia"/>
                <w:kern w:val="0"/>
                <w:sz w:val="28"/>
                <w:szCs w:val="24"/>
              </w:rPr>
              <w:t>治理能力现代化。开展“数治人社”行动，</w:t>
            </w:r>
            <w:proofErr w:type="gramStart"/>
            <w:r>
              <w:rPr>
                <w:rFonts w:ascii="仿宋_GB2312" w:hint="eastAsia"/>
                <w:kern w:val="0"/>
                <w:sz w:val="28"/>
                <w:szCs w:val="24"/>
              </w:rPr>
              <w:t>开展人社大</w:t>
            </w:r>
            <w:proofErr w:type="gramEnd"/>
            <w:r>
              <w:rPr>
                <w:rFonts w:ascii="仿宋_GB2312" w:hint="eastAsia"/>
                <w:kern w:val="0"/>
                <w:sz w:val="28"/>
                <w:szCs w:val="24"/>
              </w:rPr>
              <w:t>数据应用，实现通过数据推动</w:t>
            </w:r>
            <w:proofErr w:type="gramStart"/>
            <w:r>
              <w:rPr>
                <w:rFonts w:ascii="仿宋_GB2312" w:hint="eastAsia"/>
                <w:kern w:val="0"/>
                <w:sz w:val="28"/>
                <w:szCs w:val="24"/>
              </w:rPr>
              <w:t>人社业务</w:t>
            </w:r>
            <w:proofErr w:type="gramEnd"/>
            <w:r>
              <w:rPr>
                <w:rFonts w:ascii="仿宋_GB2312" w:hint="eastAsia"/>
                <w:kern w:val="0"/>
                <w:sz w:val="28"/>
                <w:szCs w:val="24"/>
              </w:rPr>
              <w:t>智能化决策分析，通过大数据精准感知用户需求并向用户</w:t>
            </w:r>
            <w:r w:rsidR="00B64C92">
              <w:rPr>
                <w:rFonts w:ascii="仿宋_GB2312" w:hint="eastAsia"/>
                <w:kern w:val="0"/>
                <w:sz w:val="28"/>
                <w:szCs w:val="24"/>
              </w:rPr>
              <w:t>提供</w:t>
            </w:r>
            <w:proofErr w:type="gramStart"/>
            <w:r>
              <w:rPr>
                <w:rFonts w:ascii="仿宋_GB2312" w:hint="eastAsia"/>
                <w:kern w:val="0"/>
                <w:sz w:val="28"/>
                <w:szCs w:val="24"/>
              </w:rPr>
              <w:t>精准人社服务</w:t>
            </w:r>
            <w:proofErr w:type="gramEnd"/>
            <w:r>
              <w:rPr>
                <w:rFonts w:ascii="仿宋_GB2312" w:hint="eastAsia"/>
                <w:kern w:val="0"/>
                <w:sz w:val="28"/>
                <w:szCs w:val="24"/>
              </w:rPr>
              <w:t>。</w:t>
            </w:r>
          </w:p>
          <w:p w:rsidR="00E51332" w:rsidRDefault="00B767C7">
            <w:pPr>
              <w:snapToGrid w:val="0"/>
              <w:spacing w:line="480" w:lineRule="exact"/>
              <w:ind w:firstLine="560"/>
              <w:rPr>
                <w:rFonts w:eastAsia="楷体_GB2312"/>
                <w:kern w:val="0"/>
                <w:sz w:val="28"/>
                <w:szCs w:val="24"/>
              </w:rPr>
            </w:pPr>
            <w:r>
              <w:rPr>
                <w:rFonts w:eastAsia="楷体_GB2312" w:hint="eastAsia"/>
                <w:kern w:val="0"/>
                <w:sz w:val="28"/>
                <w:szCs w:val="24"/>
              </w:rPr>
              <w:t>数字社区工程。</w:t>
            </w:r>
            <w:r>
              <w:rPr>
                <w:rFonts w:ascii="仿宋_GB2312" w:hint="eastAsia"/>
                <w:kern w:val="0"/>
                <w:sz w:val="28"/>
                <w:szCs w:val="24"/>
              </w:rPr>
              <w:t>搭建社区政务服务应用和社区生活服务应用，深入推行一窗受理、全程代办、服务承诺等制度，使群众在家门口就能办事，为小区居民提供便利生活。深化基层社会治理应用，全面提升社区安全、自治和便民服务能力。</w:t>
            </w:r>
          </w:p>
          <w:p w:rsidR="00E51332" w:rsidRDefault="00B767C7">
            <w:pPr>
              <w:snapToGrid w:val="0"/>
              <w:spacing w:after="240" w:line="480" w:lineRule="exact"/>
              <w:ind w:firstLine="560"/>
              <w:rPr>
                <w:rFonts w:ascii="仿宋_GB2312"/>
                <w:kern w:val="0"/>
                <w:sz w:val="28"/>
                <w:szCs w:val="24"/>
              </w:rPr>
            </w:pPr>
            <w:proofErr w:type="gramStart"/>
            <w:r>
              <w:rPr>
                <w:rFonts w:eastAsia="楷体_GB2312" w:hint="eastAsia"/>
                <w:kern w:val="0"/>
                <w:sz w:val="28"/>
                <w:szCs w:val="24"/>
              </w:rPr>
              <w:t>数字文旅工程</w:t>
            </w:r>
            <w:proofErr w:type="gramEnd"/>
            <w:r>
              <w:rPr>
                <w:rFonts w:eastAsia="楷体_GB2312" w:hint="eastAsia"/>
                <w:kern w:val="0"/>
                <w:sz w:val="28"/>
                <w:szCs w:val="24"/>
              </w:rPr>
              <w:t>。</w:t>
            </w:r>
            <w:r>
              <w:rPr>
                <w:rFonts w:ascii="仿宋_GB2312" w:hint="eastAsia"/>
                <w:kern w:val="0"/>
                <w:sz w:val="28"/>
                <w:szCs w:val="24"/>
              </w:rPr>
              <w:t>推进智慧博物馆、智能图书馆、数字美术馆建设，使我市公共文化服务更加信息化、数字化、智能化。</w:t>
            </w:r>
          </w:p>
        </w:tc>
      </w:tr>
    </w:tbl>
    <w:p w:rsidR="00E51332" w:rsidRDefault="00E51332" w:rsidP="002B59AE">
      <w:pPr>
        <w:ind w:firstLine="640"/>
      </w:pPr>
    </w:p>
    <w:p w:rsidR="00E51332" w:rsidRDefault="00B767C7">
      <w:pPr>
        <w:pStyle w:val="3"/>
        <w:ind w:firstLine="643"/>
      </w:pPr>
      <w:r>
        <w:rPr>
          <w:rFonts w:hint="eastAsia"/>
        </w:rPr>
        <w:lastRenderedPageBreak/>
        <w:t>提升政务服务体验。</w:t>
      </w:r>
    </w:p>
    <w:p w:rsidR="00E51332" w:rsidRDefault="00B767C7">
      <w:pPr>
        <w:ind w:firstLine="643"/>
      </w:pPr>
      <w:r>
        <w:rPr>
          <w:rFonts w:hint="eastAsia"/>
          <w:b/>
          <w:bCs/>
        </w:rPr>
        <w:t>（</w:t>
      </w:r>
      <w:r>
        <w:rPr>
          <w:b/>
          <w:bCs/>
        </w:rPr>
        <w:t>1</w:t>
      </w:r>
      <w:r>
        <w:rPr>
          <w:rFonts w:hint="eastAsia"/>
          <w:b/>
          <w:bCs/>
        </w:rPr>
        <w:t>）推动全面实施“好差评”</w:t>
      </w:r>
      <w:r>
        <w:rPr>
          <w:rFonts w:hint="eastAsia"/>
        </w:rPr>
        <w:t>。建立健全数字政府改革建设评估手段。全面推动实施“好差评”，推动政务服务“好差评”渠道全方位畅通、大厅和事项</w:t>
      </w:r>
      <w:proofErr w:type="gramStart"/>
      <w:r>
        <w:rPr>
          <w:rFonts w:hint="eastAsia"/>
        </w:rPr>
        <w:t>评价全</w:t>
      </w:r>
      <w:proofErr w:type="gramEnd"/>
      <w:r>
        <w:rPr>
          <w:rFonts w:hint="eastAsia"/>
        </w:rPr>
        <w:t>覆盖，推动各部门业务系统与“好差评”系统对接。加强评价数据的综合分析和应用，总结发现政务服务存在的问题，形成评价、反馈、整改、监督全流程闭环，推动政务服务质量持续提升。建立健全数字政府改革建设评估手段，推动全市政务服务质量持续提升。</w:t>
      </w:r>
    </w:p>
    <w:p w:rsidR="00E51332" w:rsidRDefault="00B767C7">
      <w:pPr>
        <w:ind w:firstLine="643"/>
      </w:pPr>
      <w:r>
        <w:rPr>
          <w:rFonts w:hint="eastAsia"/>
          <w:b/>
          <w:bCs/>
        </w:rPr>
        <w:t>（</w:t>
      </w:r>
      <w:r>
        <w:rPr>
          <w:b/>
          <w:bCs/>
        </w:rPr>
        <w:t>2</w:t>
      </w:r>
      <w:r>
        <w:rPr>
          <w:rFonts w:hint="eastAsia"/>
          <w:b/>
          <w:bCs/>
        </w:rPr>
        <w:t>）优化提升政府服务热线</w:t>
      </w:r>
      <w:r>
        <w:rPr>
          <w:rFonts w:hint="eastAsia"/>
        </w:rPr>
        <w:t>。完善和增强我市“</w:t>
      </w:r>
      <w:r>
        <w:rPr>
          <w:rFonts w:hint="eastAsia"/>
        </w:rPr>
        <w:t>12345</w:t>
      </w:r>
      <w:r>
        <w:rPr>
          <w:rFonts w:hint="eastAsia"/>
        </w:rPr>
        <w:t>”政府服务热线平台功能，</w:t>
      </w:r>
      <w:proofErr w:type="gramStart"/>
      <w:r>
        <w:rPr>
          <w:rFonts w:hint="eastAsia"/>
        </w:rPr>
        <w:t>对接省</w:t>
      </w:r>
      <w:proofErr w:type="gramEnd"/>
      <w:r>
        <w:rPr>
          <w:rFonts w:hint="eastAsia"/>
        </w:rPr>
        <w:t>智能客服平台，完善智能知识库，强化语音识别和语义识别能力，实现</w:t>
      </w:r>
      <w:r>
        <w:rPr>
          <w:rFonts w:hint="eastAsia"/>
        </w:rPr>
        <w:t>AI</w:t>
      </w:r>
      <w:r>
        <w:rPr>
          <w:rFonts w:hint="eastAsia"/>
        </w:rPr>
        <w:t>客服能听懂广普和粤语，智能引导办事和解答群众问题，为市民提供高频政务服务知识的精准咨询服务。强化数据挖掘能力和在线人工客服能力，实现按投诉事件区域、时限、数量、类型、办理进度等维度的精准化统计、智能化分析、可视化呈现，辅助社会精准治理和领导科学决策。</w:t>
      </w:r>
    </w:p>
    <w:tbl>
      <w:tblPr>
        <w:tblStyle w:val="ab"/>
        <w:tblW w:w="8296" w:type="dxa"/>
        <w:tblLayout w:type="fixed"/>
        <w:tblLook w:val="04A0" w:firstRow="1" w:lastRow="0" w:firstColumn="1" w:lastColumn="0" w:noHBand="0" w:noVBand="1"/>
      </w:tblPr>
      <w:tblGrid>
        <w:gridCol w:w="8296"/>
      </w:tblGrid>
      <w:tr w:rsidR="00E51332">
        <w:tc>
          <w:tcPr>
            <w:tcW w:w="8296" w:type="dxa"/>
          </w:tcPr>
          <w:p w:rsidR="00E51332" w:rsidRDefault="00B767C7">
            <w:pPr>
              <w:spacing w:line="384" w:lineRule="auto"/>
              <w:ind w:firstLineChars="0" w:firstLine="0"/>
              <w:jc w:val="center"/>
              <w:rPr>
                <w:rFonts w:eastAsia="黑体"/>
                <w:kern w:val="0"/>
                <w:sz w:val="28"/>
                <w:szCs w:val="20"/>
              </w:rPr>
            </w:pPr>
            <w:r>
              <w:rPr>
                <w:rFonts w:eastAsia="黑体"/>
                <w:kern w:val="0"/>
                <w:sz w:val="28"/>
                <w:szCs w:val="20"/>
              </w:rPr>
              <w:t>专栏</w:t>
            </w:r>
            <w:r>
              <w:rPr>
                <w:rFonts w:eastAsia="黑体"/>
                <w:kern w:val="0"/>
                <w:sz w:val="28"/>
                <w:szCs w:val="20"/>
              </w:rPr>
              <w:t xml:space="preserve"> </w:t>
            </w:r>
            <w:r>
              <w:rPr>
                <w:rFonts w:eastAsia="黑体" w:hint="eastAsia"/>
                <w:kern w:val="0"/>
                <w:sz w:val="28"/>
                <w:szCs w:val="20"/>
              </w:rPr>
              <w:t>4</w:t>
            </w:r>
            <w:r>
              <w:rPr>
                <w:rFonts w:eastAsia="黑体"/>
                <w:kern w:val="0"/>
                <w:sz w:val="28"/>
                <w:szCs w:val="20"/>
              </w:rPr>
              <w:t xml:space="preserve"> </w:t>
            </w:r>
            <w:r>
              <w:rPr>
                <w:rFonts w:eastAsia="黑体" w:hint="eastAsia"/>
                <w:kern w:val="0"/>
                <w:sz w:val="28"/>
                <w:szCs w:val="20"/>
              </w:rPr>
              <w:t>政务服务体验</w:t>
            </w:r>
            <w:r>
              <w:rPr>
                <w:rFonts w:eastAsia="黑体"/>
                <w:kern w:val="0"/>
                <w:sz w:val="28"/>
                <w:szCs w:val="20"/>
              </w:rPr>
              <w:t>重点</w:t>
            </w:r>
            <w:r>
              <w:rPr>
                <w:rFonts w:eastAsia="黑体" w:hint="eastAsia"/>
                <w:kern w:val="0"/>
                <w:sz w:val="28"/>
                <w:szCs w:val="20"/>
              </w:rPr>
              <w:t>项目</w:t>
            </w:r>
          </w:p>
        </w:tc>
      </w:tr>
      <w:tr w:rsidR="00E51332">
        <w:tc>
          <w:tcPr>
            <w:tcW w:w="8296" w:type="dxa"/>
          </w:tcPr>
          <w:p w:rsidR="00E51332" w:rsidRDefault="00B767C7">
            <w:pPr>
              <w:snapToGrid w:val="0"/>
              <w:spacing w:beforeLines="50" w:before="156" w:after="240" w:line="480" w:lineRule="exact"/>
              <w:ind w:firstLine="560"/>
              <w:rPr>
                <w:kern w:val="0"/>
                <w:sz w:val="28"/>
                <w:szCs w:val="24"/>
              </w:rPr>
            </w:pPr>
            <w:r>
              <w:rPr>
                <w:rFonts w:eastAsia="楷体_GB2312" w:hint="eastAsia"/>
                <w:kern w:val="0"/>
                <w:sz w:val="28"/>
                <w:szCs w:val="24"/>
              </w:rPr>
              <w:t>“</w:t>
            </w:r>
            <w:r>
              <w:rPr>
                <w:rFonts w:eastAsia="楷体_GB2312" w:hint="eastAsia"/>
                <w:kern w:val="0"/>
                <w:sz w:val="28"/>
                <w:szCs w:val="24"/>
              </w:rPr>
              <w:t>12345</w:t>
            </w:r>
            <w:r>
              <w:rPr>
                <w:rFonts w:eastAsia="楷体_GB2312" w:hint="eastAsia"/>
                <w:kern w:val="0"/>
                <w:sz w:val="28"/>
                <w:szCs w:val="24"/>
              </w:rPr>
              <w:t>”热线服务平台</w:t>
            </w:r>
            <w:r>
              <w:rPr>
                <w:rFonts w:eastAsia="楷体_GB2312"/>
                <w:kern w:val="0"/>
                <w:sz w:val="28"/>
                <w:szCs w:val="24"/>
              </w:rPr>
              <w:t>。</w:t>
            </w:r>
            <w:r>
              <w:rPr>
                <w:rFonts w:hint="eastAsia"/>
                <w:kern w:val="0"/>
                <w:sz w:val="28"/>
                <w:szCs w:val="24"/>
              </w:rPr>
              <w:t>完善和增强“</w:t>
            </w:r>
            <w:r>
              <w:rPr>
                <w:rFonts w:hint="eastAsia"/>
                <w:kern w:val="0"/>
                <w:sz w:val="28"/>
                <w:szCs w:val="24"/>
              </w:rPr>
              <w:t>12345</w:t>
            </w:r>
            <w:r>
              <w:rPr>
                <w:rFonts w:hint="eastAsia"/>
                <w:kern w:val="0"/>
                <w:sz w:val="28"/>
                <w:szCs w:val="24"/>
              </w:rPr>
              <w:t>”热线服务平台功能，建设智能客服、智能质检、智能培训等系统，实现与“</w:t>
            </w:r>
            <w:r>
              <w:rPr>
                <w:rFonts w:hint="eastAsia"/>
                <w:kern w:val="0"/>
                <w:sz w:val="28"/>
                <w:szCs w:val="24"/>
              </w:rPr>
              <w:t>5G</w:t>
            </w:r>
            <w:r>
              <w:rPr>
                <w:rFonts w:hint="eastAsia"/>
                <w:kern w:val="0"/>
                <w:sz w:val="28"/>
                <w:szCs w:val="24"/>
              </w:rPr>
              <w:t>智慧政务小屋”、</w:t>
            </w:r>
            <w:proofErr w:type="gramStart"/>
            <w:r>
              <w:rPr>
                <w:rFonts w:hint="eastAsia"/>
                <w:kern w:val="0"/>
                <w:sz w:val="28"/>
                <w:szCs w:val="24"/>
              </w:rPr>
              <w:t>侨都之</w:t>
            </w:r>
            <w:proofErr w:type="gramEnd"/>
            <w:r>
              <w:rPr>
                <w:rFonts w:hint="eastAsia"/>
                <w:kern w:val="0"/>
                <w:sz w:val="28"/>
                <w:szCs w:val="24"/>
              </w:rPr>
              <w:t>窗的诉求工单对接，完善智能知识库，强化数据挖掘能力和在线客服能力。</w:t>
            </w:r>
          </w:p>
        </w:tc>
      </w:tr>
    </w:tbl>
    <w:p w:rsidR="00E51332" w:rsidRDefault="00B767C7">
      <w:pPr>
        <w:pStyle w:val="3"/>
        <w:ind w:firstLine="643"/>
      </w:pPr>
      <w:r>
        <w:rPr>
          <w:rFonts w:hint="eastAsia"/>
        </w:rPr>
        <w:lastRenderedPageBreak/>
        <w:t>加强涉企服务应用。</w:t>
      </w:r>
    </w:p>
    <w:p w:rsidR="00E51332" w:rsidRDefault="00B767C7">
      <w:pPr>
        <w:ind w:firstLine="643"/>
      </w:pPr>
      <w:r>
        <w:rPr>
          <w:rFonts w:hint="eastAsia"/>
          <w:b/>
          <w:bCs/>
        </w:rPr>
        <w:t>（</w:t>
      </w:r>
      <w:r>
        <w:rPr>
          <w:b/>
          <w:bCs/>
        </w:rPr>
        <w:t>1</w:t>
      </w:r>
      <w:r>
        <w:rPr>
          <w:rFonts w:hint="eastAsia"/>
          <w:b/>
          <w:bCs/>
        </w:rPr>
        <w:t>）提升企业综合服务效能</w:t>
      </w:r>
      <w:r>
        <w:rPr>
          <w:rFonts w:hint="eastAsia"/>
        </w:rPr>
        <w:t>。建立政企连接服务平台，解决项目招商、企业筹建、投产运营痛点堵点，为广大企业提供“全周期”服务。基于“粤商通”完善企业诉求、征信、服务和监管一体化管理，实现惠企政策的精准推送和智能匹配，提供政策兑现“一站式”服务。有效整合市场监管、公安、税务等有关政府部门的企业数据和相关政策，拉</w:t>
      </w:r>
      <w:proofErr w:type="gramStart"/>
      <w:r>
        <w:rPr>
          <w:rFonts w:hint="eastAsia"/>
        </w:rPr>
        <w:t>通企业</w:t>
      </w:r>
      <w:proofErr w:type="gramEnd"/>
      <w:r>
        <w:rPr>
          <w:rFonts w:hint="eastAsia"/>
        </w:rPr>
        <w:t>资源以及银行、第三方机构服务，打造企业综合性服务超市，借助人工智能、大数据技术，对企业数据进行智能精准分析、综合</w:t>
      </w:r>
      <w:proofErr w:type="gramStart"/>
      <w:r>
        <w:rPr>
          <w:rFonts w:hint="eastAsia"/>
        </w:rPr>
        <w:t>研</w:t>
      </w:r>
      <w:proofErr w:type="gramEnd"/>
      <w:r>
        <w:rPr>
          <w:rFonts w:hint="eastAsia"/>
        </w:rPr>
        <w:t>判，为企业帮扶提供主动式的服务，实现一个平台服务企业全生命周期，增强企业获得感。</w:t>
      </w:r>
    </w:p>
    <w:p w:rsidR="00E51332" w:rsidRDefault="00B767C7">
      <w:pPr>
        <w:ind w:firstLine="643"/>
      </w:pPr>
      <w:r>
        <w:rPr>
          <w:rFonts w:hint="eastAsia"/>
          <w:b/>
          <w:bCs/>
        </w:rPr>
        <w:t>（</w:t>
      </w:r>
      <w:r>
        <w:rPr>
          <w:rFonts w:hint="eastAsia"/>
          <w:b/>
          <w:bCs/>
        </w:rPr>
        <w:t>2</w:t>
      </w:r>
      <w:r>
        <w:rPr>
          <w:rFonts w:hint="eastAsia"/>
          <w:b/>
          <w:bCs/>
        </w:rPr>
        <w:t>）推动工程建设项目审批提速。</w:t>
      </w:r>
      <w:r>
        <w:rPr>
          <w:rFonts w:hint="eastAsia"/>
        </w:rPr>
        <w:t>以“全流程、全覆盖”为目标，推动工程建设项目从立项到竣工验收和公共设施</w:t>
      </w:r>
      <w:proofErr w:type="gramStart"/>
      <w:r>
        <w:rPr>
          <w:rFonts w:hint="eastAsia"/>
        </w:rPr>
        <w:t>接入全</w:t>
      </w:r>
      <w:proofErr w:type="gramEnd"/>
      <w:r>
        <w:rPr>
          <w:rFonts w:hint="eastAsia"/>
        </w:rPr>
        <w:t>过程精细化管理，实现工程建设业务协同一体化和决策分析智能化。推进工程项目审批数据实时共享，推进工程建设项目审批管理系统与各类审批信息系统的互联互通，实现联审联办进一步压缩审批时限。健全工程建设项目业务协同审批功能，推动工程项目审批项目“一网通办”。</w:t>
      </w:r>
    </w:p>
    <w:p w:rsidR="00E51332" w:rsidRDefault="00B767C7">
      <w:pPr>
        <w:ind w:firstLine="643"/>
      </w:pPr>
      <w:r>
        <w:rPr>
          <w:rFonts w:hint="eastAsia"/>
          <w:b/>
          <w:bCs/>
        </w:rPr>
        <w:t>（</w:t>
      </w:r>
      <w:r>
        <w:rPr>
          <w:rFonts w:hint="eastAsia"/>
          <w:b/>
          <w:bCs/>
        </w:rPr>
        <w:t>3</w:t>
      </w:r>
      <w:r>
        <w:rPr>
          <w:rFonts w:hint="eastAsia"/>
          <w:b/>
          <w:bCs/>
        </w:rPr>
        <w:t>）促进不动产登记</w:t>
      </w:r>
      <w:proofErr w:type="gramStart"/>
      <w:r>
        <w:rPr>
          <w:rFonts w:hint="eastAsia"/>
          <w:b/>
          <w:bCs/>
        </w:rPr>
        <w:t>便利化再提速</w:t>
      </w:r>
      <w:proofErr w:type="gramEnd"/>
      <w:r>
        <w:rPr>
          <w:rFonts w:hint="eastAsia"/>
          <w:b/>
          <w:bCs/>
        </w:rPr>
        <w:t>。</w:t>
      </w:r>
      <w:r>
        <w:rPr>
          <w:rFonts w:hint="eastAsia"/>
        </w:rPr>
        <w:t>全面推进“互联网</w:t>
      </w:r>
      <w:r>
        <w:rPr>
          <w:rFonts w:hint="eastAsia"/>
        </w:rPr>
        <w:t>+</w:t>
      </w:r>
      <w:r>
        <w:rPr>
          <w:rFonts w:hint="eastAsia"/>
        </w:rPr>
        <w:t>不动产登记”，推动网上服务平台与实体大厅融合发展，构建不动产登记“网上办”服务体系。健全全市不动产登记相关信息协同共享机制，强化不动产登记与纳税、金融等领域的衔接协同，实行不动产交易、纳税、登记统一受理、统</w:t>
      </w:r>
      <w:r>
        <w:rPr>
          <w:rFonts w:hint="eastAsia"/>
        </w:rPr>
        <w:lastRenderedPageBreak/>
        <w:t>一办结。探索推进不动产登记“秒办”。</w:t>
      </w:r>
    </w:p>
    <w:p w:rsidR="00E51332" w:rsidRDefault="00B767C7">
      <w:pPr>
        <w:ind w:firstLine="643"/>
      </w:pPr>
      <w:r>
        <w:rPr>
          <w:rFonts w:hint="eastAsia"/>
          <w:b/>
          <w:bCs/>
        </w:rPr>
        <w:t>（</w:t>
      </w:r>
      <w:r>
        <w:rPr>
          <w:rFonts w:hint="eastAsia"/>
          <w:b/>
          <w:bCs/>
        </w:rPr>
        <w:t>4</w:t>
      </w:r>
      <w:r>
        <w:rPr>
          <w:rFonts w:hint="eastAsia"/>
          <w:b/>
          <w:bCs/>
        </w:rPr>
        <w:t>）提升税费缴纳便利化水平。</w:t>
      </w:r>
      <w:r>
        <w:rPr>
          <w:rFonts w:hint="eastAsia"/>
        </w:rPr>
        <w:t>开展“互联网</w:t>
      </w:r>
      <w:r>
        <w:rPr>
          <w:rFonts w:hint="eastAsia"/>
        </w:rPr>
        <w:t>+</w:t>
      </w:r>
      <w:r>
        <w:rPr>
          <w:rFonts w:hint="eastAsia"/>
        </w:rPr>
        <w:t>税务”行动，制定并持续完善涉税费事项“零跑动”清单，简化办税流程。推广电子税务局应用，实现清单内事项全程网上办理，实行实名制办税，推行增值税小规模纳税人“一键申报”，实现自主查询、</w:t>
      </w:r>
      <w:proofErr w:type="gramStart"/>
      <w:r>
        <w:rPr>
          <w:rFonts w:hint="eastAsia"/>
        </w:rPr>
        <w:t>扫码办税</w:t>
      </w:r>
      <w:proofErr w:type="gramEnd"/>
      <w:r>
        <w:rPr>
          <w:rFonts w:hint="eastAsia"/>
        </w:rPr>
        <w:t>、网上更正、退税申请、退库办理等业务网上通办。</w:t>
      </w:r>
    </w:p>
    <w:p w:rsidR="00E51332" w:rsidRDefault="00B767C7">
      <w:pPr>
        <w:ind w:firstLine="643"/>
      </w:pPr>
      <w:r>
        <w:rPr>
          <w:rFonts w:hint="eastAsia"/>
          <w:b/>
          <w:bCs/>
        </w:rPr>
        <w:t>（</w:t>
      </w:r>
      <w:r>
        <w:rPr>
          <w:b/>
          <w:bCs/>
        </w:rPr>
        <w:t>5</w:t>
      </w:r>
      <w:r>
        <w:rPr>
          <w:rFonts w:hint="eastAsia"/>
          <w:b/>
          <w:bCs/>
        </w:rPr>
        <w:t>）推进贸易通关便利化水平。</w:t>
      </w:r>
      <w:r>
        <w:rPr>
          <w:rFonts w:hint="eastAsia"/>
        </w:rPr>
        <w:t>应用智能化监管手段，提升口岸通关服务水平，推动货物装卸、在途、转运等联运物流信息交换共享，对接“单一窗口”提供全程追踪、实时查询等服务，实现口岸通关物流信息可视化应用，推进实现通关放行全流程的智能化、便利化，进一步压缩三分之一以上的通关准备和货物提离时间。按照“一点接入”原则，推进海关、税务、市场监管、邮政等部门数据互通，实现贸易监管“信息互换、监管互认、执法互助”。开展跨境电子商务公共服务应用，通过链接金融、物流、电商平台、外贸综合服务企业等，为跨境电子商务企业和个人提供物流、金融等商务服务。</w:t>
      </w:r>
    </w:p>
    <w:p w:rsidR="00E51332" w:rsidRDefault="00B767C7">
      <w:pPr>
        <w:ind w:firstLine="643"/>
      </w:pPr>
      <w:r>
        <w:rPr>
          <w:rFonts w:hint="eastAsia"/>
          <w:b/>
          <w:bCs/>
        </w:rPr>
        <w:t>（</w:t>
      </w:r>
      <w:r>
        <w:rPr>
          <w:rFonts w:hint="eastAsia"/>
          <w:b/>
          <w:bCs/>
        </w:rPr>
        <w:t>6</w:t>
      </w:r>
      <w:r>
        <w:rPr>
          <w:rFonts w:hint="eastAsia"/>
          <w:b/>
          <w:bCs/>
        </w:rPr>
        <w:t>）推动粤港澳人才合作数字化建设。</w:t>
      </w:r>
      <w:r>
        <w:rPr>
          <w:rFonts w:hint="eastAsia"/>
        </w:rPr>
        <w:t>支持江门市人才安居乐业生态园信息系统建设，持续推动江门市人才强市新四十条等人才政策兑现便捷化，建立</w:t>
      </w:r>
      <w:proofErr w:type="gramStart"/>
      <w:r>
        <w:rPr>
          <w:rFonts w:hint="eastAsia"/>
        </w:rPr>
        <w:t>起内容</w:t>
      </w:r>
      <w:proofErr w:type="gramEnd"/>
      <w:r>
        <w:rPr>
          <w:rFonts w:hint="eastAsia"/>
        </w:rPr>
        <w:t>丰富、方式多样、简捷高效的人才服务体系。加强对港澳青年就业创业的支持，依托江门市人才安居乐业生态园信息系统，融合产业</w:t>
      </w:r>
      <w:r>
        <w:rPr>
          <w:rFonts w:hint="eastAsia"/>
        </w:rPr>
        <w:lastRenderedPageBreak/>
        <w:t>与人才数据，通过数据深度挖掘碰撞提高政府在人才引进和产业聚集方面的决策能力，使江门在人才、金融、科技、高端服务业等领域产生集聚效应，形成产业高地和人才高地，更好地广纳英才，不断提升人才的社会价值，促进未来发展。</w:t>
      </w:r>
    </w:p>
    <w:p w:rsidR="00E51332" w:rsidRDefault="00B767C7">
      <w:pPr>
        <w:ind w:firstLine="643"/>
      </w:pPr>
      <w:r>
        <w:rPr>
          <w:rFonts w:hint="eastAsia"/>
          <w:b/>
          <w:bCs/>
        </w:rPr>
        <w:t>（</w:t>
      </w:r>
      <w:r>
        <w:rPr>
          <w:rFonts w:hint="eastAsia"/>
          <w:b/>
          <w:bCs/>
        </w:rPr>
        <w:t>7</w:t>
      </w:r>
      <w:r>
        <w:rPr>
          <w:rFonts w:hint="eastAsia"/>
          <w:b/>
          <w:bCs/>
        </w:rPr>
        <w:t>）优化金融信贷环境</w:t>
      </w:r>
      <w:r>
        <w:rPr>
          <w:rFonts w:hint="eastAsia"/>
        </w:rPr>
        <w:t>。针对中小</w:t>
      </w:r>
      <w:proofErr w:type="gramStart"/>
      <w:r>
        <w:rPr>
          <w:rFonts w:hint="eastAsia"/>
        </w:rPr>
        <w:t>微企业</w:t>
      </w:r>
      <w:proofErr w:type="gramEnd"/>
      <w:r>
        <w:rPr>
          <w:rFonts w:hint="eastAsia"/>
        </w:rPr>
        <w:t>融资贷款难问题，积极推广银企对接数字化平台的应用，进一步强化我市与“中小融”平台的银企对接功能。加大涉企征信数据、金融资源、惠企政策和</w:t>
      </w:r>
      <w:proofErr w:type="gramStart"/>
      <w:r>
        <w:rPr>
          <w:rFonts w:hint="eastAsia"/>
        </w:rPr>
        <w:t>涉企</w:t>
      </w:r>
      <w:proofErr w:type="gramEnd"/>
      <w:r>
        <w:rPr>
          <w:rFonts w:hint="eastAsia"/>
        </w:rPr>
        <w:t>服务等资源整合力度，加强政务沉淀数据归口利用，</w:t>
      </w:r>
      <w:proofErr w:type="gramStart"/>
      <w:r>
        <w:rPr>
          <w:rFonts w:hint="eastAsia"/>
        </w:rPr>
        <w:t>畅通企业</w:t>
      </w:r>
      <w:proofErr w:type="gramEnd"/>
      <w:r>
        <w:rPr>
          <w:rFonts w:hint="eastAsia"/>
        </w:rPr>
        <w:t>征信信息查询机制，为金融机构提供一站式信用信息查询服务，帮助金融机构快速</w:t>
      </w:r>
      <w:proofErr w:type="gramStart"/>
      <w:r>
        <w:rPr>
          <w:rFonts w:hint="eastAsia"/>
        </w:rPr>
        <w:t>研判企业</w:t>
      </w:r>
      <w:proofErr w:type="gramEnd"/>
      <w:r>
        <w:rPr>
          <w:rFonts w:hint="eastAsia"/>
        </w:rPr>
        <w:t>信用风险，助力解决企业融资过程中的“涉企信息碎片化、银企信息不对称、企业风险评估困难、授信审批流程长、惠企政策分散化”等痛点问题，帮助企业更高效、更低成本地融资。</w:t>
      </w:r>
    </w:p>
    <w:p w:rsidR="00E51332" w:rsidRDefault="00B767C7">
      <w:pPr>
        <w:ind w:firstLine="643"/>
      </w:pPr>
      <w:r>
        <w:rPr>
          <w:rFonts w:hint="eastAsia"/>
          <w:b/>
          <w:bCs/>
        </w:rPr>
        <w:t>（</w:t>
      </w:r>
      <w:r>
        <w:rPr>
          <w:rFonts w:hint="eastAsia"/>
          <w:b/>
          <w:bCs/>
        </w:rPr>
        <w:t>8</w:t>
      </w:r>
      <w:r>
        <w:rPr>
          <w:rFonts w:hint="eastAsia"/>
          <w:b/>
          <w:bCs/>
        </w:rPr>
        <w:t>）提升公共资源交易服务能力。</w:t>
      </w:r>
      <w:r>
        <w:rPr>
          <w:rFonts w:hint="eastAsia"/>
        </w:rPr>
        <w:t>紧密切合广东省深化公共资源交易平台整合共享的部署要求，依托数字政府公共支撑平台，进一步精简办事流程，完善一体化公共资源交易平台体系，健全监管体系，实现全过程电子化交易和在线实时监管。推广网上中介服务超市，全面保证中介服务项目选取和交易的公平公正性。</w:t>
      </w:r>
    </w:p>
    <w:p w:rsidR="00E51332" w:rsidRDefault="00B767C7">
      <w:pPr>
        <w:ind w:firstLine="643"/>
      </w:pPr>
      <w:r>
        <w:rPr>
          <w:rFonts w:hint="eastAsia"/>
          <w:b/>
          <w:bCs/>
        </w:rPr>
        <w:t>（</w:t>
      </w:r>
      <w:r>
        <w:rPr>
          <w:rFonts w:hint="eastAsia"/>
          <w:b/>
          <w:bCs/>
        </w:rPr>
        <w:t>9</w:t>
      </w:r>
      <w:r>
        <w:rPr>
          <w:rFonts w:hint="eastAsia"/>
          <w:b/>
          <w:bCs/>
        </w:rPr>
        <w:t>）提升知识产权保护水平</w:t>
      </w:r>
      <w:r>
        <w:rPr>
          <w:rFonts w:hint="eastAsia"/>
        </w:rPr>
        <w:t>。以数据为核心，扩展知识产权数据资源规模和渠道，强化数据资源管理和应用创新。充分利用信息技术手段，进一步深化知识产权维权援助工作，</w:t>
      </w:r>
      <w:r>
        <w:rPr>
          <w:rFonts w:hint="eastAsia"/>
        </w:rPr>
        <w:lastRenderedPageBreak/>
        <w:t>提供“一站式”综合维权援助解决方案，实现维权服务全市“一张网”。加强重点商标预警监测保护，深化商标品牌建设。加快知识产权侵权假冒线索在线识别、实时监测、源头追溯的应用建设，提升打击知识产权侵权假冒行为的效率、力度及精准度，净化互联网交易环境。</w:t>
      </w:r>
    </w:p>
    <w:tbl>
      <w:tblPr>
        <w:tblStyle w:val="ab"/>
        <w:tblW w:w="8296" w:type="dxa"/>
        <w:tblLayout w:type="fixed"/>
        <w:tblLook w:val="04A0" w:firstRow="1" w:lastRow="0" w:firstColumn="1" w:lastColumn="0" w:noHBand="0" w:noVBand="1"/>
      </w:tblPr>
      <w:tblGrid>
        <w:gridCol w:w="8296"/>
      </w:tblGrid>
      <w:tr w:rsidR="00E51332">
        <w:tc>
          <w:tcPr>
            <w:tcW w:w="8296" w:type="dxa"/>
          </w:tcPr>
          <w:p w:rsidR="00E51332" w:rsidRDefault="00B767C7">
            <w:pPr>
              <w:spacing w:line="384" w:lineRule="auto"/>
              <w:ind w:firstLineChars="0" w:firstLine="0"/>
              <w:jc w:val="center"/>
              <w:rPr>
                <w:rFonts w:eastAsia="黑体"/>
                <w:kern w:val="0"/>
                <w:sz w:val="28"/>
                <w:szCs w:val="20"/>
              </w:rPr>
            </w:pPr>
            <w:r>
              <w:rPr>
                <w:rFonts w:eastAsia="黑体"/>
                <w:kern w:val="0"/>
                <w:sz w:val="28"/>
                <w:szCs w:val="20"/>
              </w:rPr>
              <w:t>专栏</w:t>
            </w:r>
            <w:r>
              <w:rPr>
                <w:rFonts w:eastAsia="黑体"/>
                <w:kern w:val="0"/>
                <w:sz w:val="28"/>
                <w:szCs w:val="20"/>
              </w:rPr>
              <w:t xml:space="preserve"> </w:t>
            </w:r>
            <w:r>
              <w:rPr>
                <w:rFonts w:eastAsia="黑体" w:hint="eastAsia"/>
                <w:kern w:val="0"/>
                <w:sz w:val="28"/>
                <w:szCs w:val="20"/>
              </w:rPr>
              <w:t>5</w:t>
            </w:r>
            <w:r>
              <w:rPr>
                <w:rFonts w:eastAsia="黑体"/>
                <w:kern w:val="0"/>
                <w:sz w:val="28"/>
                <w:szCs w:val="20"/>
              </w:rPr>
              <w:t xml:space="preserve"> </w:t>
            </w:r>
            <w:r>
              <w:rPr>
                <w:rFonts w:eastAsia="黑体" w:hint="eastAsia"/>
                <w:kern w:val="0"/>
                <w:sz w:val="28"/>
                <w:szCs w:val="20"/>
              </w:rPr>
              <w:t>涉企</w:t>
            </w:r>
            <w:r>
              <w:rPr>
                <w:rFonts w:eastAsia="黑体"/>
                <w:kern w:val="0"/>
                <w:sz w:val="28"/>
                <w:szCs w:val="20"/>
              </w:rPr>
              <w:t>服务重点</w:t>
            </w:r>
            <w:r>
              <w:rPr>
                <w:rFonts w:eastAsia="黑体" w:hint="eastAsia"/>
                <w:kern w:val="0"/>
                <w:sz w:val="28"/>
                <w:szCs w:val="20"/>
              </w:rPr>
              <w:t>项目</w:t>
            </w:r>
          </w:p>
        </w:tc>
      </w:tr>
      <w:tr w:rsidR="00E51332">
        <w:tc>
          <w:tcPr>
            <w:tcW w:w="8296" w:type="dxa"/>
          </w:tcPr>
          <w:p w:rsidR="00E51332" w:rsidRDefault="00B767C7">
            <w:pPr>
              <w:snapToGrid w:val="0"/>
              <w:spacing w:line="480" w:lineRule="exact"/>
              <w:ind w:firstLine="560"/>
              <w:rPr>
                <w:rFonts w:eastAsia="楷体_GB2312"/>
                <w:kern w:val="0"/>
                <w:sz w:val="28"/>
                <w:szCs w:val="24"/>
              </w:rPr>
            </w:pPr>
            <w:r>
              <w:rPr>
                <w:rFonts w:eastAsia="楷体_GB2312" w:hint="eastAsia"/>
                <w:kern w:val="0"/>
                <w:sz w:val="28"/>
                <w:szCs w:val="24"/>
              </w:rPr>
              <w:t>一站式企业服务主题应用</w:t>
            </w:r>
            <w:r>
              <w:rPr>
                <w:rFonts w:eastAsia="楷体_GB2312"/>
                <w:kern w:val="0"/>
                <w:sz w:val="28"/>
                <w:szCs w:val="24"/>
              </w:rPr>
              <w:t>。</w:t>
            </w:r>
            <w:r>
              <w:rPr>
                <w:rFonts w:ascii="仿宋_GB2312" w:hint="eastAsia"/>
                <w:kern w:val="0"/>
                <w:sz w:val="28"/>
                <w:szCs w:val="24"/>
              </w:rPr>
              <w:t>升级企业开办、不动产登记、工程建设审批、“多规合一”等多个营商服务应用，实现营商服务一体化、智能化、主动化，办事流程清晰化和风险监管主动化、可视化，同时支持全面采集各类基础信息和动态信息，强化数据汇总监测功能，提高营商服务“主动感知、智能办理”能力，推动营商主题服务应用跨区域、跨层级办理。</w:t>
            </w:r>
          </w:p>
          <w:p w:rsidR="00E51332" w:rsidRDefault="00B767C7">
            <w:pPr>
              <w:snapToGrid w:val="0"/>
              <w:spacing w:line="480" w:lineRule="exact"/>
              <w:ind w:firstLine="560"/>
              <w:rPr>
                <w:rFonts w:ascii="仿宋_GB2312"/>
                <w:kern w:val="0"/>
                <w:sz w:val="28"/>
                <w:szCs w:val="24"/>
              </w:rPr>
            </w:pPr>
            <w:r>
              <w:rPr>
                <w:rFonts w:eastAsia="楷体_GB2312" w:hint="eastAsia"/>
                <w:kern w:val="0"/>
                <w:sz w:val="28"/>
                <w:szCs w:val="24"/>
              </w:rPr>
              <w:t>网络知识产权保护体系</w:t>
            </w:r>
            <w:r>
              <w:rPr>
                <w:rFonts w:ascii="仿宋_GB2312" w:hint="eastAsia"/>
                <w:kern w:val="0"/>
                <w:sz w:val="28"/>
                <w:szCs w:val="24"/>
              </w:rPr>
              <w:t>。构建网络知识产权保护体系，对网络侵权线索分析、串并、聚集，辅助知识产权领域侵权行为的执法取证，实现江门市知识产权环境优化，促进本地知识产权创新发展。</w:t>
            </w:r>
          </w:p>
          <w:p w:rsidR="00E51332" w:rsidRDefault="00B767C7" w:rsidP="006F2321">
            <w:pPr>
              <w:snapToGrid w:val="0"/>
              <w:spacing w:after="240" w:line="480" w:lineRule="exact"/>
              <w:ind w:firstLine="560"/>
              <w:rPr>
                <w:rFonts w:ascii="仿宋_GB2312"/>
                <w:kern w:val="0"/>
                <w:sz w:val="28"/>
                <w:szCs w:val="24"/>
              </w:rPr>
            </w:pPr>
            <w:r>
              <w:rPr>
                <w:rFonts w:ascii="楷体_GB2312" w:eastAsia="楷体_GB2312" w:hint="eastAsia"/>
                <w:kern w:val="0"/>
                <w:sz w:val="28"/>
                <w:szCs w:val="24"/>
              </w:rPr>
              <w:t>社会信用体系</w:t>
            </w:r>
            <w:r>
              <w:rPr>
                <w:rFonts w:ascii="仿宋_GB2312" w:hint="eastAsia"/>
                <w:kern w:val="0"/>
                <w:sz w:val="28"/>
                <w:szCs w:val="24"/>
              </w:rPr>
              <w:t>。完善公共信用信息共享平台，完成公共信用信息共享服务平台与“信易贷”平台的数据接口对接，打造“区块链+信用服务”。推进守信联合激励和失信联合惩戒，将联合奖惩措施嵌入行政管理和公共服务工作流程。探索“信用积分”建设，在市场监管、文化执法、劳动监察、生态环境等领域支持承诺制和</w:t>
            </w:r>
            <w:proofErr w:type="gramStart"/>
            <w:r>
              <w:rPr>
                <w:rFonts w:ascii="仿宋_GB2312" w:hint="eastAsia"/>
                <w:kern w:val="0"/>
                <w:sz w:val="28"/>
                <w:szCs w:val="24"/>
              </w:rPr>
              <w:t>容缺</w:t>
            </w:r>
            <w:proofErr w:type="gramEnd"/>
            <w:r>
              <w:rPr>
                <w:rFonts w:ascii="仿宋_GB2312" w:hint="eastAsia"/>
                <w:kern w:val="0"/>
                <w:sz w:val="28"/>
                <w:szCs w:val="24"/>
              </w:rPr>
              <w:t>制服务，在交通出行、积分落户、扶贫济困、医院诊疗、图书借阅、文化休闲等公共服务中为守信主体提供便利优惠。</w:t>
            </w:r>
          </w:p>
        </w:tc>
      </w:tr>
    </w:tbl>
    <w:p w:rsidR="00E51332" w:rsidRDefault="00B767C7">
      <w:pPr>
        <w:pStyle w:val="2"/>
        <w:spacing w:before="156" w:after="156"/>
        <w:ind w:firstLine="640"/>
      </w:pPr>
      <w:bookmarkStart w:id="77" w:name="_Toc63596503"/>
      <w:bookmarkStart w:id="78" w:name="_Toc66093957"/>
      <w:bookmarkStart w:id="79" w:name="_Toc64903395"/>
      <w:r>
        <w:rPr>
          <w:rFonts w:hint="eastAsia"/>
        </w:rPr>
        <w:t>数字慧治，着力打造新型智慧城市。</w:t>
      </w:r>
      <w:bookmarkEnd w:id="77"/>
      <w:bookmarkEnd w:id="78"/>
      <w:bookmarkEnd w:id="79"/>
    </w:p>
    <w:p w:rsidR="00E51332" w:rsidRDefault="00B767C7">
      <w:pPr>
        <w:pStyle w:val="3"/>
        <w:ind w:firstLine="643"/>
      </w:pPr>
      <w:r>
        <w:rPr>
          <w:rFonts w:hint="eastAsia"/>
        </w:rPr>
        <w:t>建设“一网统管”城市大脑。</w:t>
      </w:r>
    </w:p>
    <w:p w:rsidR="00E51332" w:rsidRDefault="00B767C7">
      <w:pPr>
        <w:ind w:firstLine="643"/>
      </w:pPr>
      <w:r>
        <w:rPr>
          <w:rFonts w:hint="eastAsia"/>
          <w:b/>
          <w:bCs/>
        </w:rPr>
        <w:t>（</w:t>
      </w:r>
      <w:r>
        <w:rPr>
          <w:b/>
          <w:bCs/>
        </w:rPr>
        <w:t>1</w:t>
      </w:r>
      <w:r>
        <w:rPr>
          <w:rFonts w:hint="eastAsia"/>
          <w:b/>
          <w:bCs/>
        </w:rPr>
        <w:t>）建设“一网统管”核心平台。</w:t>
      </w:r>
      <w:r>
        <w:rPr>
          <w:rFonts w:hint="eastAsia"/>
        </w:rPr>
        <w:t>充分依托数字政府</w:t>
      </w:r>
      <w:r>
        <w:rPr>
          <w:rFonts w:hint="eastAsia"/>
        </w:rPr>
        <w:lastRenderedPageBreak/>
        <w:t>基础支撑能力，按照省统一建设标准规范，构建架构一体、标准统一、数据互通的城市大脑，打通城市数据感知、分析、决策和执行环节，为各业务领域提供</w:t>
      </w:r>
      <w:r>
        <w:rPr>
          <w:rFonts w:hint="eastAsia"/>
        </w:rPr>
        <w:t>AI</w:t>
      </w:r>
      <w:r>
        <w:rPr>
          <w:rFonts w:hint="eastAsia"/>
        </w:rPr>
        <w:t>计算框架、模型和组件等一体化的管理和应用支撑。以城市大脑为核心，完善“一网统管”体系和一体化综合网格管理体系，完善城市事件上报、处置、智能分拨平台，集约建设市场、应急、消防、水利、城管、交通、环保、治安城市感知“一张图”，实现城市运行管理“</w:t>
      </w:r>
      <w:proofErr w:type="gramStart"/>
      <w:r>
        <w:rPr>
          <w:rFonts w:hint="eastAsia"/>
        </w:rPr>
        <w:t>一屏观</w:t>
      </w:r>
      <w:proofErr w:type="gramEnd"/>
      <w:r>
        <w:rPr>
          <w:rFonts w:hint="eastAsia"/>
        </w:rPr>
        <w:t>天下、一网管全城”，强化市域治理预警和实时态势监控</w:t>
      </w:r>
      <w:proofErr w:type="gramStart"/>
      <w:r>
        <w:rPr>
          <w:rFonts w:hint="eastAsia"/>
        </w:rPr>
        <w:t>一</w:t>
      </w:r>
      <w:proofErr w:type="gramEnd"/>
      <w:r>
        <w:rPr>
          <w:rFonts w:hint="eastAsia"/>
        </w:rPr>
        <w:t>屏（大屏）两端（</w:t>
      </w:r>
      <w:r>
        <w:rPr>
          <w:rFonts w:hint="eastAsia"/>
        </w:rPr>
        <w:t>PC</w:t>
      </w:r>
      <w:r>
        <w:rPr>
          <w:rFonts w:hint="eastAsia"/>
        </w:rPr>
        <w:t>端和移动端）的联动展现与应用。</w:t>
      </w:r>
    </w:p>
    <w:p w:rsidR="00E51332" w:rsidRDefault="00B767C7">
      <w:pPr>
        <w:ind w:firstLine="643"/>
      </w:pPr>
      <w:r>
        <w:rPr>
          <w:rFonts w:hint="eastAsia"/>
          <w:b/>
          <w:bCs/>
        </w:rPr>
        <w:t>（</w:t>
      </w:r>
      <w:r>
        <w:rPr>
          <w:rFonts w:hint="eastAsia"/>
          <w:b/>
          <w:bCs/>
        </w:rPr>
        <w:t>2</w:t>
      </w:r>
      <w:r>
        <w:rPr>
          <w:rFonts w:hint="eastAsia"/>
          <w:b/>
          <w:bCs/>
        </w:rPr>
        <w:t>）探索构建“数字孪生”实时模型</w:t>
      </w:r>
      <w:r>
        <w:rPr>
          <w:rFonts w:hint="eastAsia"/>
        </w:rPr>
        <w:t>。建设全域“数字孪生”城市信息平台，探索建设全域“数字孪生”城市</w:t>
      </w:r>
      <w:r>
        <w:rPr>
          <w:rFonts w:hint="eastAsia"/>
        </w:rPr>
        <w:t>,</w:t>
      </w:r>
      <w:r>
        <w:rPr>
          <w:rFonts w:hint="eastAsia"/>
        </w:rPr>
        <w:t>汇聚</w:t>
      </w:r>
      <w:proofErr w:type="gramStart"/>
      <w:r>
        <w:rPr>
          <w:rFonts w:hint="eastAsia"/>
        </w:rPr>
        <w:t>整合全市三维城市</w:t>
      </w:r>
      <w:proofErr w:type="gramEnd"/>
      <w:r>
        <w:rPr>
          <w:rFonts w:hint="eastAsia"/>
        </w:rPr>
        <w:t>信息模型与三维基础地理信息数据，数字化模拟城市全要素资源，为“城市大脑”提供可视化、精细化地理空间信息管理模型，实现实体城市向数字空间的全息投影，增强城市治理灵敏感知、快速分析、迅捷处置能力，提升综合治理水平和服务能力。</w:t>
      </w:r>
    </w:p>
    <w:p w:rsidR="00E51332" w:rsidRDefault="00B767C7">
      <w:pPr>
        <w:ind w:firstLine="643"/>
      </w:pPr>
      <w:r>
        <w:rPr>
          <w:rFonts w:hint="eastAsia"/>
          <w:b/>
          <w:bCs/>
        </w:rPr>
        <w:t>（</w:t>
      </w:r>
      <w:r>
        <w:rPr>
          <w:b/>
          <w:bCs/>
        </w:rPr>
        <w:t>3</w:t>
      </w:r>
      <w:r>
        <w:rPr>
          <w:rFonts w:hint="eastAsia"/>
          <w:b/>
          <w:bCs/>
        </w:rPr>
        <w:t>）强化城市融合通信能力。</w:t>
      </w:r>
      <w:r>
        <w:rPr>
          <w:rFonts w:hint="eastAsia"/>
        </w:rPr>
        <w:t>为“城市大脑”业务现场可视化、调度指挥扁平化，接</w:t>
      </w:r>
      <w:proofErr w:type="gramStart"/>
      <w:r>
        <w:rPr>
          <w:rFonts w:hint="eastAsia"/>
        </w:rPr>
        <w:t>报指挥</w:t>
      </w:r>
      <w:proofErr w:type="gramEnd"/>
      <w:r>
        <w:rPr>
          <w:rFonts w:hint="eastAsia"/>
        </w:rPr>
        <w:t>统一化提供强有力的保障支撑，有效支持固定电话、移动电话、各种集群终端、会议终端等不同终端设备之间的互联互通，为应急状态下语音、调度、数据传输、视频监控等通信业务提供多种方式稳定回传。</w:t>
      </w:r>
    </w:p>
    <w:tbl>
      <w:tblPr>
        <w:tblStyle w:val="ab"/>
        <w:tblW w:w="8296" w:type="dxa"/>
        <w:tblLayout w:type="fixed"/>
        <w:tblLook w:val="04A0" w:firstRow="1" w:lastRow="0" w:firstColumn="1" w:lastColumn="0" w:noHBand="0" w:noVBand="1"/>
      </w:tblPr>
      <w:tblGrid>
        <w:gridCol w:w="8296"/>
      </w:tblGrid>
      <w:tr w:rsidR="00E51332">
        <w:tc>
          <w:tcPr>
            <w:tcW w:w="8296" w:type="dxa"/>
          </w:tcPr>
          <w:p w:rsidR="00E51332" w:rsidRDefault="00B767C7">
            <w:pPr>
              <w:spacing w:line="384" w:lineRule="auto"/>
              <w:ind w:firstLineChars="0" w:firstLine="0"/>
              <w:jc w:val="center"/>
              <w:rPr>
                <w:rFonts w:eastAsia="黑体"/>
                <w:kern w:val="0"/>
                <w:sz w:val="28"/>
                <w:szCs w:val="20"/>
              </w:rPr>
            </w:pPr>
            <w:r>
              <w:rPr>
                <w:rFonts w:eastAsia="黑体"/>
                <w:kern w:val="0"/>
                <w:sz w:val="28"/>
                <w:szCs w:val="20"/>
              </w:rPr>
              <w:lastRenderedPageBreak/>
              <w:t>专栏</w:t>
            </w:r>
            <w:r>
              <w:rPr>
                <w:rFonts w:eastAsia="黑体"/>
                <w:kern w:val="0"/>
                <w:sz w:val="28"/>
                <w:szCs w:val="20"/>
              </w:rPr>
              <w:t xml:space="preserve"> </w:t>
            </w:r>
            <w:r>
              <w:rPr>
                <w:rFonts w:eastAsia="黑体" w:hint="eastAsia"/>
                <w:kern w:val="0"/>
                <w:sz w:val="28"/>
                <w:szCs w:val="20"/>
              </w:rPr>
              <w:t>6</w:t>
            </w:r>
            <w:r>
              <w:rPr>
                <w:rFonts w:eastAsia="黑体"/>
                <w:kern w:val="0"/>
                <w:sz w:val="28"/>
                <w:szCs w:val="20"/>
              </w:rPr>
              <w:t xml:space="preserve"> </w:t>
            </w:r>
            <w:r>
              <w:rPr>
                <w:rFonts w:eastAsia="黑体" w:hint="eastAsia"/>
                <w:kern w:val="0"/>
                <w:sz w:val="28"/>
                <w:szCs w:val="20"/>
              </w:rPr>
              <w:t>城市大脑</w:t>
            </w:r>
            <w:r>
              <w:rPr>
                <w:rFonts w:eastAsia="黑体"/>
                <w:kern w:val="0"/>
                <w:sz w:val="28"/>
                <w:szCs w:val="20"/>
              </w:rPr>
              <w:t>重点</w:t>
            </w:r>
            <w:r>
              <w:rPr>
                <w:rFonts w:eastAsia="黑体" w:hint="eastAsia"/>
                <w:kern w:val="0"/>
                <w:sz w:val="28"/>
                <w:szCs w:val="20"/>
              </w:rPr>
              <w:t>项目</w:t>
            </w:r>
          </w:p>
        </w:tc>
      </w:tr>
      <w:tr w:rsidR="00E51332">
        <w:tc>
          <w:tcPr>
            <w:tcW w:w="8296" w:type="dxa"/>
          </w:tcPr>
          <w:p w:rsidR="00E51332" w:rsidRDefault="00B767C7">
            <w:pPr>
              <w:snapToGrid w:val="0"/>
              <w:spacing w:line="480" w:lineRule="exact"/>
              <w:ind w:firstLine="560"/>
              <w:rPr>
                <w:rFonts w:ascii="仿宋_GB2312"/>
                <w:kern w:val="0"/>
                <w:sz w:val="28"/>
                <w:szCs w:val="24"/>
              </w:rPr>
            </w:pPr>
            <w:r>
              <w:rPr>
                <w:rFonts w:eastAsia="楷体_GB2312" w:hint="eastAsia"/>
                <w:kern w:val="0"/>
                <w:sz w:val="28"/>
                <w:szCs w:val="24"/>
              </w:rPr>
              <w:t>一网统管平台</w:t>
            </w:r>
            <w:r>
              <w:rPr>
                <w:rFonts w:ascii="仿宋_GB2312" w:hint="eastAsia"/>
                <w:kern w:val="0"/>
                <w:sz w:val="28"/>
                <w:szCs w:val="24"/>
              </w:rPr>
              <w:t>。基于城市“数字云图”和“数字孪生”地理信息平台，统筹集成市场、应急、消防、水利、城管、交通、环保、治安城市管理“一张图”，实现政府治理“</w:t>
            </w:r>
            <w:proofErr w:type="gramStart"/>
            <w:r>
              <w:rPr>
                <w:rFonts w:ascii="仿宋_GB2312" w:hint="eastAsia"/>
                <w:kern w:val="0"/>
                <w:sz w:val="28"/>
                <w:szCs w:val="24"/>
              </w:rPr>
              <w:t>一屏观</w:t>
            </w:r>
            <w:proofErr w:type="gramEnd"/>
            <w:r>
              <w:rPr>
                <w:rFonts w:ascii="仿宋_GB2312" w:hint="eastAsia"/>
                <w:kern w:val="0"/>
                <w:sz w:val="28"/>
                <w:szCs w:val="24"/>
              </w:rPr>
              <w:t>天下，一网管全城”，统筹推进AI和大数据模型在政府治理中的应用，聚焦数据融合与业务场景，促进各市（区）、各部门基于一网统管平台建设智能场景应用。</w:t>
            </w:r>
          </w:p>
          <w:p w:rsidR="00E51332" w:rsidRDefault="00B767C7">
            <w:pPr>
              <w:snapToGrid w:val="0"/>
              <w:spacing w:after="240" w:line="480" w:lineRule="exact"/>
              <w:ind w:firstLine="560"/>
              <w:rPr>
                <w:rFonts w:ascii="仿宋_GB2312"/>
                <w:kern w:val="0"/>
                <w:sz w:val="28"/>
                <w:szCs w:val="24"/>
              </w:rPr>
            </w:pPr>
            <w:r>
              <w:rPr>
                <w:rFonts w:eastAsia="楷体_GB2312" w:hint="eastAsia"/>
                <w:kern w:val="0"/>
                <w:sz w:val="28"/>
                <w:szCs w:val="24"/>
              </w:rPr>
              <w:t>“数字孪生”城市信息化平台</w:t>
            </w:r>
            <w:r>
              <w:rPr>
                <w:rFonts w:ascii="仿宋_GB2312" w:hint="eastAsia"/>
                <w:kern w:val="0"/>
                <w:sz w:val="28"/>
                <w:szCs w:val="24"/>
              </w:rPr>
              <w:t>。建设“数字孪生”城市信息平台，各部门的</w:t>
            </w:r>
            <w:proofErr w:type="gramStart"/>
            <w:r>
              <w:rPr>
                <w:rFonts w:ascii="仿宋_GB2312" w:hint="eastAsia"/>
                <w:kern w:val="0"/>
                <w:sz w:val="28"/>
                <w:szCs w:val="24"/>
              </w:rPr>
              <w:t>三维城市</w:t>
            </w:r>
            <w:proofErr w:type="gramEnd"/>
            <w:r>
              <w:rPr>
                <w:rFonts w:ascii="仿宋_GB2312" w:hint="eastAsia"/>
                <w:kern w:val="0"/>
                <w:sz w:val="28"/>
                <w:szCs w:val="24"/>
              </w:rPr>
              <w:t>信息模型与三维基础地理信息数据融合建设，为“城市大脑”提供可视化、精细化地理空间信息管理模型。</w:t>
            </w:r>
          </w:p>
        </w:tc>
      </w:tr>
    </w:tbl>
    <w:p w:rsidR="00E51332" w:rsidRDefault="00B767C7">
      <w:pPr>
        <w:pStyle w:val="3"/>
        <w:ind w:firstLine="643"/>
      </w:pPr>
      <w:r>
        <w:rPr>
          <w:rFonts w:hint="eastAsia"/>
        </w:rPr>
        <w:t>打造行业智慧治理应用。</w:t>
      </w:r>
    </w:p>
    <w:p w:rsidR="00E51332" w:rsidRDefault="00B767C7">
      <w:pPr>
        <w:ind w:firstLine="643"/>
        <w:rPr>
          <w:b/>
          <w:bCs/>
        </w:rPr>
      </w:pPr>
      <w:r>
        <w:rPr>
          <w:rFonts w:hint="eastAsia"/>
          <w:b/>
          <w:bCs/>
        </w:rPr>
        <w:t>（</w:t>
      </w:r>
      <w:r>
        <w:rPr>
          <w:b/>
          <w:bCs/>
        </w:rPr>
        <w:t>1</w:t>
      </w:r>
      <w:r>
        <w:rPr>
          <w:rFonts w:hint="eastAsia"/>
          <w:b/>
          <w:bCs/>
        </w:rPr>
        <w:t>）推进社会治理智慧化建设。</w:t>
      </w:r>
    </w:p>
    <w:p w:rsidR="00E51332" w:rsidRDefault="00B767C7">
      <w:pPr>
        <w:ind w:firstLine="643"/>
      </w:pPr>
      <w:r>
        <w:rPr>
          <w:rFonts w:hint="eastAsia"/>
          <w:b/>
          <w:bCs/>
        </w:rPr>
        <w:t>——创新基层治理方式</w:t>
      </w:r>
      <w:r>
        <w:rPr>
          <w:rFonts w:hint="eastAsia"/>
        </w:rPr>
        <w:t>。构建一体化平安网格管理体系，完善网格事件上报、处置、智能分拨流程，实现网格事件的快速响应与协同联动。强化社会治理预警和实时态势监控“一张图”，全面提升社区安全、自治和便民服务能力。推动社会治理重心下移，联动市、县、镇、网格、群众，实现社区管理全面感知、高效协同。拓展“粤省事”“江门易办事”等应用，提升网格管理员、群众的沟通交流水平。</w:t>
      </w:r>
    </w:p>
    <w:p w:rsidR="00E51332" w:rsidRDefault="00B767C7">
      <w:pPr>
        <w:ind w:firstLine="643"/>
      </w:pPr>
      <w:r>
        <w:rPr>
          <w:rFonts w:hint="eastAsia"/>
          <w:b/>
          <w:bCs/>
        </w:rPr>
        <w:t>——深化智慧警务建设</w:t>
      </w:r>
      <w:r>
        <w:rPr>
          <w:rFonts w:hint="eastAsia"/>
        </w:rPr>
        <w:t>。持续推进平安江门建设，推动新技术与警务机制深度融合，研究实现对人、地、事、物、组织的数字化管理，构筑以数据为关键要素的治安防控模式，建设具有大数据特征的警务应用新生态。全面开展打击犯罪整治行动，创新指挥决策、反</w:t>
      </w:r>
      <w:proofErr w:type="gramStart"/>
      <w:r>
        <w:rPr>
          <w:rFonts w:hint="eastAsia"/>
        </w:rPr>
        <w:t>恐维稳</w:t>
      </w:r>
      <w:proofErr w:type="gramEnd"/>
      <w:r>
        <w:rPr>
          <w:rFonts w:hint="eastAsia"/>
        </w:rPr>
        <w:t>、打击犯罪、治安防控、</w:t>
      </w:r>
      <w:r>
        <w:rPr>
          <w:rFonts w:hint="eastAsia"/>
        </w:rPr>
        <w:lastRenderedPageBreak/>
        <w:t>队伍管理等警务应用，建成一整套可感知、可防控、敏捷高效的新警务机制体系，推进新时代公共安全治理智能化、现代化。</w:t>
      </w:r>
    </w:p>
    <w:p w:rsidR="00E51332" w:rsidRDefault="00B767C7">
      <w:pPr>
        <w:ind w:firstLine="643"/>
      </w:pPr>
      <w:r>
        <w:rPr>
          <w:rFonts w:hint="eastAsia"/>
          <w:b/>
          <w:bCs/>
        </w:rPr>
        <w:t>——推进智慧应急管理</w:t>
      </w:r>
      <w:r>
        <w:rPr>
          <w:rFonts w:hint="eastAsia"/>
        </w:rPr>
        <w:t>。基于自然灾害监测感知数据，构建空、天、地一体化全域覆盖的自然灾害监测预警系统，增强对多灾种、灾害链及综合承载体的风险预防能力。以高危行业企业风险监测感知数据为支撑，构建风险监测指标和监测预警模型，实现对高危企业安全生产风险智慧监管。打造应急指挥“一张网”，支撑横向到边、纵向到底的跨部门、跨地域、跨层级的融合应急指挥。</w:t>
      </w:r>
    </w:p>
    <w:p w:rsidR="00E51332" w:rsidRDefault="00B767C7">
      <w:pPr>
        <w:ind w:firstLine="643"/>
      </w:pPr>
      <w:r>
        <w:rPr>
          <w:rFonts w:hint="eastAsia"/>
          <w:b/>
          <w:bCs/>
        </w:rPr>
        <w:t>——打造</w:t>
      </w:r>
      <w:proofErr w:type="gramStart"/>
      <w:r>
        <w:rPr>
          <w:rFonts w:hint="eastAsia"/>
          <w:b/>
          <w:bCs/>
        </w:rPr>
        <w:t>智慧消防救援</w:t>
      </w:r>
      <w:proofErr w:type="gramEnd"/>
      <w:r>
        <w:rPr>
          <w:rFonts w:hint="eastAsia"/>
          <w:b/>
          <w:bCs/>
        </w:rPr>
        <w:t>体系</w:t>
      </w:r>
      <w:r>
        <w:rPr>
          <w:rFonts w:hint="eastAsia"/>
        </w:rPr>
        <w:t>。不断完善消防信息化新型架构，建立健全快速反应、远程指挥、智能辅助、科学决策、高效运行的消防创新性作战指挥体系。优化升级接处警系统，拓展灾情险情信息渠道，区分灾种主题、响应等级，实现一键式调派、精准化调度。围绕消防业务应用场景，推行以远程监管、移动监管、预警防控为特征的新型消防监管手段，与全省统一的监管中枢实现对接。加强消防大数据一体化建设，推动安全防范管控管理全覆盖。</w:t>
      </w:r>
    </w:p>
    <w:p w:rsidR="00E51332" w:rsidRDefault="00B767C7">
      <w:pPr>
        <w:ind w:firstLine="643"/>
      </w:pPr>
      <w:r>
        <w:rPr>
          <w:rFonts w:hint="eastAsia"/>
          <w:b/>
          <w:bCs/>
        </w:rPr>
        <w:t>——加快数字水利建设</w:t>
      </w:r>
      <w:r>
        <w:rPr>
          <w:rFonts w:hint="eastAsia"/>
        </w:rPr>
        <w:t>。加快推进“广东数字水利与系统治理融合工程”地级市试点工作，</w:t>
      </w:r>
      <w:proofErr w:type="gramStart"/>
      <w:r>
        <w:rPr>
          <w:rFonts w:hint="eastAsia"/>
        </w:rPr>
        <w:t>构建全市</w:t>
      </w:r>
      <w:proofErr w:type="gramEnd"/>
      <w:r>
        <w:rPr>
          <w:rFonts w:hint="eastAsia"/>
        </w:rPr>
        <w:t>一体化水情、闸泵自动化远程监控、流量监测、水质监测、视频监控等水利管理“一张图”，建设全市统一的智慧水利平台，构建水利综合数据库、水利基础信息服务、水利专业模型引擎和基</w:t>
      </w:r>
      <w:r>
        <w:rPr>
          <w:rFonts w:hint="eastAsia"/>
        </w:rPr>
        <w:lastRenderedPageBreak/>
        <w:t>于数字孪生的创新应用，实现综合监测分析、指挥调度、数据资源管控、大屏综合展示等场景应用。全面增强水旱灾害预报预警及风险分析能力，配合多级联动协同指挥，为实现流域防洪调度提供决策支撑。加强水库工程综合管理、堤围在线监测预警，保障水利工程运行安全。加强水源地监管、取用水监管、水资源优化配置，增强河湖水域综合管理能力。</w:t>
      </w:r>
    </w:p>
    <w:p w:rsidR="00E51332" w:rsidRDefault="00B767C7">
      <w:pPr>
        <w:ind w:firstLine="643"/>
      </w:pPr>
      <w:r>
        <w:rPr>
          <w:rFonts w:hint="eastAsia"/>
          <w:b/>
          <w:bCs/>
        </w:rPr>
        <w:t>——深化智慧城管建设</w:t>
      </w:r>
      <w:r>
        <w:rPr>
          <w:rFonts w:hint="eastAsia"/>
        </w:rPr>
        <w:t>。围绕城市管理精细化和智能化，建设城管态势感知网络，实现对市政路灯、消防栓、沙井盖、燃气管道等城市部件和城市桥梁、绿地公园的实时感知能力，提升城市基础设施管护水平和安全管控能力。加强供排水综合管理，实现汇集城市饮用水源地、供排水设施数据与监测数据“一张图”，全面提升城市内涝风险预警预报和防内涝智能调度能力。加强二次供水信息管理，实现二次供水的安全（安防）和水质、水压监测，保障江门市用水安全。利用无人机和人工巡查相结合的方式对辖区内各类违章建筑进行巡查。深化燃气行业互联网安全监管。建设完善城市环境卫生综合管理系统，实现对环卫企业、人员、设施、车辆及环卫作业监管，加强建筑垃圾车辆运输抛洒滴漏、污染环境行为的管理，实现对建筑垃圾车辆运输全程监管。完善公众参与城市管理渠道，强化户外广告设施管理，形成户外广告设施一本账。</w:t>
      </w:r>
    </w:p>
    <w:p w:rsidR="00E51332" w:rsidRDefault="00B767C7">
      <w:pPr>
        <w:ind w:firstLine="643"/>
      </w:pPr>
      <w:r>
        <w:rPr>
          <w:rFonts w:hint="eastAsia"/>
          <w:b/>
          <w:bCs/>
        </w:rPr>
        <w:t>——推进</w:t>
      </w:r>
      <w:proofErr w:type="gramStart"/>
      <w:r>
        <w:rPr>
          <w:rFonts w:hint="eastAsia"/>
          <w:b/>
          <w:bCs/>
        </w:rPr>
        <w:t>智慧住</w:t>
      </w:r>
      <w:proofErr w:type="gramEnd"/>
      <w:r>
        <w:rPr>
          <w:rFonts w:hint="eastAsia"/>
          <w:b/>
          <w:bCs/>
        </w:rPr>
        <w:t>建建设</w:t>
      </w:r>
      <w:r>
        <w:rPr>
          <w:rFonts w:hint="eastAsia"/>
        </w:rPr>
        <w:t>。加强建设工程全生命周期管理，全面普及推广数字化审图系统在房屋市政工程施工图审查</w:t>
      </w:r>
      <w:r>
        <w:rPr>
          <w:rFonts w:hint="eastAsia"/>
        </w:rPr>
        <w:lastRenderedPageBreak/>
        <w:t>的应用，推行施工许可及竣工验收全部在工程建设项目审批管理系统办理。建立包含在建工程总控监管、扬尘噪声监控、视频监控、实名制管理、危大工程管理、监督执法以及工程质量检测监管等功能的智慧工地系统，实时采集施工质量安全信息，对危险源预警和跟进处理。结合房屋建筑和市政设施风险普查工作，</w:t>
      </w:r>
      <w:proofErr w:type="gramStart"/>
      <w:r>
        <w:rPr>
          <w:rFonts w:hint="eastAsia"/>
        </w:rPr>
        <w:t>摸清住建领域</w:t>
      </w:r>
      <w:proofErr w:type="gramEnd"/>
      <w:r>
        <w:rPr>
          <w:rFonts w:hint="eastAsia"/>
        </w:rPr>
        <w:t>资产底数，建设老旧危房监测预警及房屋灾害普查系统，实现对老旧危房的实时监测、信息上报、隐患预警和房屋生命周期的智能预测。加强市住房城乡建设局与相关部门的数据共享，开发房地产行业专题大数据应用，动态监测监控房地产行业走势。</w:t>
      </w:r>
    </w:p>
    <w:p w:rsidR="00E51332" w:rsidRDefault="00B767C7">
      <w:pPr>
        <w:ind w:firstLine="643"/>
      </w:pPr>
      <w:r>
        <w:rPr>
          <w:rFonts w:hint="eastAsia"/>
          <w:b/>
          <w:bCs/>
        </w:rPr>
        <w:t>——强化智慧交通建设</w:t>
      </w:r>
      <w:r>
        <w:rPr>
          <w:rFonts w:hint="eastAsia"/>
        </w:rPr>
        <w:t>。完善智慧交通管理系统，建设交通大数据平台，自动优化调整交通资源，探索解决交通拥堵问题。探索“规划、建养、运输、应急、执法、创新、管理、协同”一体化交通运输综合管理平台的开发研究。完善城市、农村全区域道路感知及信息采集网络，利用高分遥感技术对跨河桥梁、航道、码头、堆场等港航资源普查，实现交通管</w:t>
      </w:r>
      <w:proofErr w:type="gramStart"/>
      <w:r>
        <w:rPr>
          <w:rFonts w:hint="eastAsia"/>
        </w:rPr>
        <w:t>控信息</w:t>
      </w:r>
      <w:proofErr w:type="gramEnd"/>
      <w:r>
        <w:rPr>
          <w:rFonts w:hint="eastAsia"/>
        </w:rPr>
        <w:t>“一张图”。依托“粤交通”，向公众提供专业、准确、权威的交通信息服务，提升市民获取交通出行信息的便捷性和及时性。建设基于汽车电子标识的重点车辆监管系统，加强重点车辆及其驾驶人管理，预防和减少重点车辆交通违法行为及交通事故的发生。建设城市智慧停车工程，制作城市停车泊位“一张图”，完善便民停车服务，提高停车设施周转率。提升公交监控调度、客流信息采集分析、公交</w:t>
      </w:r>
      <w:r>
        <w:rPr>
          <w:rFonts w:hint="eastAsia"/>
        </w:rPr>
        <w:lastRenderedPageBreak/>
        <w:t>线路优化及站点核心业务流程化管理能力。探索推进车路协同、自动驾驶技术的研究应用，融合智能网联新基建和自动驾驶人工智能，提升民众智慧出行体验。</w:t>
      </w:r>
    </w:p>
    <w:tbl>
      <w:tblPr>
        <w:tblStyle w:val="ab"/>
        <w:tblW w:w="8296" w:type="dxa"/>
        <w:tblLayout w:type="fixed"/>
        <w:tblLook w:val="04A0" w:firstRow="1" w:lastRow="0" w:firstColumn="1" w:lastColumn="0" w:noHBand="0" w:noVBand="1"/>
      </w:tblPr>
      <w:tblGrid>
        <w:gridCol w:w="8296"/>
      </w:tblGrid>
      <w:tr w:rsidR="00E51332">
        <w:tc>
          <w:tcPr>
            <w:tcW w:w="8296" w:type="dxa"/>
          </w:tcPr>
          <w:p w:rsidR="00E51332" w:rsidRDefault="00B767C7">
            <w:pPr>
              <w:spacing w:line="384" w:lineRule="auto"/>
              <w:ind w:firstLineChars="0" w:firstLine="0"/>
              <w:jc w:val="center"/>
              <w:rPr>
                <w:rFonts w:eastAsia="黑体"/>
                <w:kern w:val="0"/>
                <w:sz w:val="28"/>
                <w:szCs w:val="20"/>
              </w:rPr>
            </w:pPr>
            <w:r>
              <w:rPr>
                <w:rFonts w:eastAsia="黑体"/>
                <w:kern w:val="0"/>
                <w:sz w:val="28"/>
                <w:szCs w:val="20"/>
              </w:rPr>
              <w:t>专栏</w:t>
            </w:r>
            <w:r>
              <w:rPr>
                <w:rFonts w:eastAsia="黑体"/>
                <w:kern w:val="0"/>
                <w:sz w:val="28"/>
                <w:szCs w:val="20"/>
              </w:rPr>
              <w:t xml:space="preserve"> </w:t>
            </w:r>
            <w:r>
              <w:rPr>
                <w:rFonts w:eastAsia="黑体" w:hint="eastAsia"/>
                <w:kern w:val="0"/>
                <w:sz w:val="28"/>
                <w:szCs w:val="20"/>
              </w:rPr>
              <w:t>7</w:t>
            </w:r>
            <w:r>
              <w:rPr>
                <w:rFonts w:eastAsia="黑体"/>
                <w:kern w:val="0"/>
                <w:sz w:val="28"/>
                <w:szCs w:val="20"/>
              </w:rPr>
              <w:t xml:space="preserve"> </w:t>
            </w:r>
            <w:r>
              <w:rPr>
                <w:rFonts w:eastAsia="黑体" w:hint="eastAsia"/>
                <w:kern w:val="0"/>
                <w:sz w:val="28"/>
                <w:szCs w:val="20"/>
              </w:rPr>
              <w:t>社会治理</w:t>
            </w:r>
            <w:r>
              <w:rPr>
                <w:rFonts w:eastAsia="黑体"/>
                <w:kern w:val="0"/>
                <w:sz w:val="28"/>
                <w:szCs w:val="20"/>
              </w:rPr>
              <w:t>重点</w:t>
            </w:r>
            <w:r>
              <w:rPr>
                <w:rFonts w:eastAsia="黑体" w:hint="eastAsia"/>
                <w:kern w:val="0"/>
                <w:sz w:val="28"/>
                <w:szCs w:val="20"/>
              </w:rPr>
              <w:t>项目</w:t>
            </w:r>
          </w:p>
        </w:tc>
      </w:tr>
      <w:tr w:rsidR="00E51332">
        <w:tc>
          <w:tcPr>
            <w:tcW w:w="8296" w:type="dxa"/>
          </w:tcPr>
          <w:p w:rsidR="00E51332" w:rsidRDefault="00B767C7">
            <w:pPr>
              <w:snapToGrid w:val="0"/>
              <w:spacing w:line="480" w:lineRule="exact"/>
              <w:ind w:firstLine="560"/>
              <w:rPr>
                <w:rFonts w:eastAsia="楷体_GB2312"/>
                <w:kern w:val="0"/>
                <w:sz w:val="28"/>
                <w:szCs w:val="24"/>
              </w:rPr>
            </w:pPr>
            <w:r>
              <w:rPr>
                <w:rFonts w:ascii="仿宋_GB2312" w:hint="eastAsia"/>
                <w:kern w:val="0"/>
                <w:sz w:val="28"/>
                <w:szCs w:val="24"/>
              </w:rPr>
              <w:t>一</w:t>
            </w:r>
            <w:r>
              <w:rPr>
                <w:rFonts w:eastAsia="楷体_GB2312" w:hint="eastAsia"/>
                <w:kern w:val="0"/>
                <w:sz w:val="28"/>
                <w:szCs w:val="24"/>
              </w:rPr>
              <w:t>体化平安网格管理体系</w:t>
            </w:r>
            <w:r>
              <w:rPr>
                <w:rFonts w:ascii="仿宋_GB2312" w:hint="eastAsia"/>
                <w:kern w:val="0"/>
                <w:sz w:val="28"/>
                <w:szCs w:val="24"/>
              </w:rPr>
              <w:t>。构建一体化平安网格管理体系,完善网格事件上报、处置、智能分拨流程,实现网格事件的快速响应与协同联动。建设完善气候防灾减灾、突发性应急综合协调指挥平台，建立科学指挥调度机制，形成全市指挥调度“一盘棋”。打造社会治理“智能底板”，强化社会治理预警和实时态势监控</w:t>
            </w:r>
            <w:proofErr w:type="gramStart"/>
            <w:r>
              <w:rPr>
                <w:rFonts w:ascii="仿宋_GB2312" w:hint="eastAsia"/>
                <w:kern w:val="0"/>
                <w:sz w:val="28"/>
                <w:szCs w:val="24"/>
              </w:rPr>
              <w:t>一</w:t>
            </w:r>
            <w:proofErr w:type="gramEnd"/>
            <w:r>
              <w:rPr>
                <w:rFonts w:ascii="仿宋_GB2312" w:hint="eastAsia"/>
                <w:kern w:val="0"/>
                <w:sz w:val="28"/>
                <w:szCs w:val="24"/>
              </w:rPr>
              <w:t>屏（大屏）两端（PC端和移动端）的联动展现与应用。</w:t>
            </w:r>
          </w:p>
          <w:p w:rsidR="00E51332" w:rsidRDefault="00B767C7">
            <w:pPr>
              <w:snapToGrid w:val="0"/>
              <w:spacing w:line="480" w:lineRule="exact"/>
              <w:ind w:firstLine="560"/>
              <w:rPr>
                <w:rFonts w:ascii="仿宋_GB2312"/>
                <w:kern w:val="0"/>
                <w:sz w:val="28"/>
                <w:szCs w:val="24"/>
              </w:rPr>
            </w:pPr>
            <w:r>
              <w:rPr>
                <w:rFonts w:eastAsia="楷体_GB2312" w:hint="eastAsia"/>
                <w:kern w:val="0"/>
                <w:sz w:val="28"/>
                <w:szCs w:val="24"/>
              </w:rPr>
              <w:t>智慧应急创新工程</w:t>
            </w:r>
            <w:r>
              <w:rPr>
                <w:rFonts w:ascii="仿宋_GB2312" w:hint="eastAsia"/>
                <w:kern w:val="0"/>
                <w:sz w:val="28"/>
                <w:szCs w:val="24"/>
              </w:rPr>
              <w:t>。整合应急管理综合平台，推动跨部门、跨领域应急数据融合、通信融合、业务融合，推进消防档案管理数字化，建设应急综合指挥调度平台、应急专项应用平台、智能接处警、辅助救援系统、“微消防”应用，提升突发事件接报处置、现场救援指挥及监测预警能力。</w:t>
            </w:r>
          </w:p>
          <w:p w:rsidR="00E51332" w:rsidRDefault="00B767C7">
            <w:pPr>
              <w:snapToGrid w:val="0"/>
              <w:spacing w:line="480" w:lineRule="exact"/>
              <w:ind w:firstLine="560"/>
              <w:rPr>
                <w:rFonts w:ascii="仿宋_GB2312"/>
                <w:kern w:val="0"/>
                <w:sz w:val="28"/>
                <w:szCs w:val="24"/>
              </w:rPr>
            </w:pPr>
            <w:r>
              <w:rPr>
                <w:rFonts w:eastAsia="楷体_GB2312" w:hint="eastAsia"/>
                <w:kern w:val="0"/>
                <w:sz w:val="28"/>
                <w:szCs w:val="24"/>
              </w:rPr>
              <w:t>智慧水利创新工程</w:t>
            </w:r>
            <w:r>
              <w:rPr>
                <w:rFonts w:ascii="仿宋_GB2312" w:hint="eastAsia"/>
                <w:kern w:val="0"/>
                <w:sz w:val="28"/>
                <w:szCs w:val="24"/>
              </w:rPr>
              <w:t>。建设全市统一的智慧水利平台、构建水利综合数据库、水利基础信息服务、水利专业模型引擎和基于数字孪生的创新应用，提高水资源调度能力、水旱灾害预报预警能力。加强水库工程综合管理、堤围在线监测预警，提升河长巡检智能化能力，加强水源地监管、取用水监管，增强河湖水域综合管理能力。</w:t>
            </w:r>
          </w:p>
          <w:p w:rsidR="00E51332" w:rsidRDefault="00B767C7">
            <w:pPr>
              <w:snapToGrid w:val="0"/>
              <w:spacing w:line="480" w:lineRule="exact"/>
              <w:ind w:firstLine="560"/>
              <w:rPr>
                <w:rFonts w:ascii="仿宋_GB2312"/>
                <w:kern w:val="0"/>
                <w:sz w:val="28"/>
                <w:szCs w:val="24"/>
              </w:rPr>
            </w:pPr>
            <w:r>
              <w:rPr>
                <w:rFonts w:eastAsia="楷体_GB2312" w:hint="eastAsia"/>
                <w:kern w:val="0"/>
                <w:sz w:val="28"/>
                <w:szCs w:val="24"/>
              </w:rPr>
              <w:t>智慧城管创新工程</w:t>
            </w:r>
            <w:r>
              <w:rPr>
                <w:rFonts w:ascii="仿宋_GB2312" w:hint="eastAsia"/>
                <w:kern w:val="0"/>
                <w:sz w:val="28"/>
                <w:szCs w:val="24"/>
              </w:rPr>
              <w:t>。升级改造全市一体化智慧城市综合管理平台，提升融合通信指挥调度能力，建设城管态势感知网络。加强供排水综合管理，有力保障城市水安全。探索无人机城市管理巡查、煤气瓶“一瓶一码”、渣土车运输过程动态监管等，完善公众参与城市管理渠道。</w:t>
            </w:r>
          </w:p>
          <w:p w:rsidR="00E51332" w:rsidRDefault="00B767C7">
            <w:pPr>
              <w:snapToGrid w:val="0"/>
              <w:spacing w:line="480" w:lineRule="exact"/>
              <w:ind w:firstLine="560"/>
              <w:rPr>
                <w:rFonts w:ascii="仿宋_GB2312"/>
                <w:kern w:val="0"/>
                <w:sz w:val="28"/>
                <w:szCs w:val="24"/>
              </w:rPr>
            </w:pPr>
            <w:proofErr w:type="gramStart"/>
            <w:r>
              <w:rPr>
                <w:rFonts w:eastAsia="楷体_GB2312" w:hint="eastAsia"/>
                <w:kern w:val="0"/>
                <w:sz w:val="28"/>
                <w:szCs w:val="24"/>
              </w:rPr>
              <w:t>智慧住建创新</w:t>
            </w:r>
            <w:proofErr w:type="gramEnd"/>
            <w:r>
              <w:rPr>
                <w:rFonts w:eastAsia="楷体_GB2312" w:hint="eastAsia"/>
                <w:kern w:val="0"/>
                <w:sz w:val="28"/>
                <w:szCs w:val="24"/>
              </w:rPr>
              <w:t>工程</w:t>
            </w:r>
            <w:r>
              <w:rPr>
                <w:rFonts w:ascii="仿宋_GB2312" w:hint="eastAsia"/>
                <w:kern w:val="0"/>
                <w:sz w:val="28"/>
                <w:szCs w:val="24"/>
              </w:rPr>
              <w:t>。加强工地智慧监管，实时采集施工质量安全信息，对危险源预警和跟进处理。建设老旧危房监测预警及房屋</w:t>
            </w:r>
            <w:r>
              <w:rPr>
                <w:rFonts w:ascii="仿宋_GB2312" w:hint="eastAsia"/>
                <w:kern w:val="0"/>
                <w:sz w:val="28"/>
                <w:szCs w:val="24"/>
              </w:rPr>
              <w:lastRenderedPageBreak/>
              <w:t>灾害普查系统，实现对老旧危房的实时监测、信息上报、隐患预警。开发房地产行业专题大数据应用，动态监测监控房地产行业走势。</w:t>
            </w:r>
          </w:p>
          <w:p w:rsidR="00E51332" w:rsidRDefault="00B767C7">
            <w:pPr>
              <w:snapToGrid w:val="0"/>
              <w:spacing w:line="480" w:lineRule="exact"/>
              <w:ind w:firstLine="560"/>
              <w:rPr>
                <w:rFonts w:ascii="仿宋_GB2312"/>
                <w:kern w:val="0"/>
                <w:sz w:val="28"/>
                <w:szCs w:val="24"/>
              </w:rPr>
            </w:pPr>
            <w:r>
              <w:rPr>
                <w:rFonts w:eastAsia="楷体_GB2312" w:hint="eastAsia"/>
                <w:kern w:val="0"/>
                <w:sz w:val="28"/>
                <w:szCs w:val="24"/>
              </w:rPr>
              <w:t>智慧交通创新工程</w:t>
            </w:r>
            <w:r>
              <w:rPr>
                <w:rFonts w:ascii="仿宋_GB2312" w:hint="eastAsia"/>
                <w:kern w:val="0"/>
                <w:sz w:val="28"/>
                <w:szCs w:val="24"/>
              </w:rPr>
              <w:t>。完善城市、农村全区域道路感知及信息采集系统，建设交通大数据平台、基于汽车电子标识的重点车辆监管系统，开展“粤交通”应用，提高交通运输综合管理。完善便民停车服务平台、“智慧公交”系统，探索推进车路协同、自动驾驶技术的研究应用，提升公共交通出行体验度。</w:t>
            </w:r>
          </w:p>
          <w:p w:rsidR="00E51332" w:rsidRDefault="00B767C7">
            <w:pPr>
              <w:snapToGrid w:val="0"/>
              <w:spacing w:after="240" w:line="480" w:lineRule="exact"/>
              <w:ind w:firstLine="560"/>
              <w:rPr>
                <w:rFonts w:ascii="仿宋_GB2312"/>
                <w:kern w:val="0"/>
                <w:sz w:val="28"/>
                <w:szCs w:val="24"/>
              </w:rPr>
            </w:pPr>
            <w:r>
              <w:rPr>
                <w:rFonts w:eastAsia="楷体_GB2312" w:hint="eastAsia"/>
                <w:kern w:val="0"/>
                <w:sz w:val="28"/>
                <w:szCs w:val="24"/>
              </w:rPr>
              <w:t>智慧警务创新工程</w:t>
            </w:r>
            <w:r>
              <w:rPr>
                <w:rFonts w:ascii="仿宋_GB2312" w:hint="eastAsia"/>
                <w:kern w:val="0"/>
                <w:sz w:val="28"/>
                <w:szCs w:val="24"/>
              </w:rPr>
              <w:t>。提升“二标四实”基础信息采集广度和深度，完善智慧新交管平台，推动“互联网+车管”便民服务，全面提高警务管理和服务能力。</w:t>
            </w:r>
          </w:p>
        </w:tc>
      </w:tr>
    </w:tbl>
    <w:p w:rsidR="00E51332" w:rsidRDefault="00B767C7">
      <w:pPr>
        <w:ind w:firstLine="643"/>
        <w:rPr>
          <w:b/>
          <w:bCs/>
        </w:rPr>
      </w:pPr>
      <w:r>
        <w:rPr>
          <w:rFonts w:hint="eastAsia"/>
          <w:b/>
          <w:bCs/>
        </w:rPr>
        <w:lastRenderedPageBreak/>
        <w:t>（</w:t>
      </w:r>
      <w:r>
        <w:rPr>
          <w:b/>
          <w:bCs/>
        </w:rPr>
        <w:t>2</w:t>
      </w:r>
      <w:r>
        <w:rPr>
          <w:rFonts w:hint="eastAsia"/>
          <w:b/>
          <w:bCs/>
        </w:rPr>
        <w:t>）推进市场治理智慧化建设。</w:t>
      </w:r>
    </w:p>
    <w:p w:rsidR="00E51332" w:rsidRDefault="00B767C7">
      <w:pPr>
        <w:ind w:firstLine="643"/>
      </w:pPr>
      <w:r>
        <w:rPr>
          <w:rFonts w:hint="eastAsia"/>
          <w:b/>
          <w:bCs/>
        </w:rPr>
        <w:t>——完善“互联网</w:t>
      </w:r>
      <w:r>
        <w:rPr>
          <w:rFonts w:hint="eastAsia"/>
          <w:b/>
          <w:bCs/>
        </w:rPr>
        <w:t>+</w:t>
      </w:r>
      <w:r>
        <w:rPr>
          <w:rFonts w:hint="eastAsia"/>
          <w:b/>
          <w:bCs/>
        </w:rPr>
        <w:t>监管”体系。</w:t>
      </w:r>
      <w:r>
        <w:rPr>
          <w:rFonts w:hint="eastAsia"/>
        </w:rPr>
        <w:t>完善全市统一的“互联网</w:t>
      </w:r>
      <w:r>
        <w:rPr>
          <w:rFonts w:hint="eastAsia"/>
        </w:rPr>
        <w:t>+</w:t>
      </w:r>
      <w:r>
        <w:rPr>
          <w:rFonts w:hint="eastAsia"/>
        </w:rPr>
        <w:t>监管”平台，为各级监管部门实施“双随机、</w:t>
      </w:r>
      <w:proofErr w:type="gramStart"/>
      <w:r>
        <w:rPr>
          <w:rFonts w:hint="eastAsia"/>
        </w:rPr>
        <w:t>一</w:t>
      </w:r>
      <w:proofErr w:type="gramEnd"/>
      <w:r>
        <w:rPr>
          <w:rFonts w:hint="eastAsia"/>
        </w:rPr>
        <w:t>公开”监管工作提供基础支撑和服务。建设风险预警和应急处置系统，对行政许可、日常检查、监督抽检、举报投诉等来源的风险因素和联动信息资源进行分析整合，以数据分析驱动突发事件应急处置方式升级，有效提升监管精准化和智能化水平，形成我市市场监管系统的风险监测、调度、</w:t>
      </w:r>
      <w:proofErr w:type="gramStart"/>
      <w:r>
        <w:rPr>
          <w:rFonts w:hint="eastAsia"/>
        </w:rPr>
        <w:t>研</w:t>
      </w:r>
      <w:proofErr w:type="gramEnd"/>
      <w:r>
        <w:rPr>
          <w:rFonts w:hint="eastAsia"/>
        </w:rPr>
        <w:t>判、预警和指挥枢纽。建设互联网交易监管信息系统，实现全市网络市场主体、电商平台、公众号等网络主体行为的监管和治理，打造健康有序的互联网营商环境。构建网络知识产权保护系统，对网络侵权线索分析、串并、聚集，辅助知识产权领域侵权行为的执法取证，实现江门市知识产权环境优化，促进本地知识产权创新发展。</w:t>
      </w:r>
    </w:p>
    <w:p w:rsidR="00E51332" w:rsidRDefault="00B767C7">
      <w:pPr>
        <w:ind w:firstLine="643"/>
      </w:pPr>
      <w:r>
        <w:rPr>
          <w:rFonts w:hint="eastAsia"/>
          <w:b/>
          <w:bCs/>
        </w:rPr>
        <w:lastRenderedPageBreak/>
        <w:t>——加强信用评价和应用能力。</w:t>
      </w:r>
      <w:r>
        <w:rPr>
          <w:rFonts w:hint="eastAsia"/>
        </w:rPr>
        <w:t>以构建“知信、守信、用信”社会信用体系建设为目标，探索“信用积分”建设，在市场监管、文化执法、劳动监察、生态环境等领域支持承诺制和</w:t>
      </w:r>
      <w:proofErr w:type="gramStart"/>
      <w:r>
        <w:rPr>
          <w:rFonts w:hint="eastAsia"/>
        </w:rPr>
        <w:t>容缺</w:t>
      </w:r>
      <w:proofErr w:type="gramEnd"/>
      <w:r>
        <w:rPr>
          <w:rFonts w:hint="eastAsia"/>
        </w:rPr>
        <w:t>制服务实现，在交通出行、积分落户、扶贫济困、医院诊疗、图书借阅、文化休闲等公共服务中为守信主体提供便利优惠。进一步完善公共信用信息共享平台，提供公共信用信息“一站式”查询及更多个性化服务。大力推进守信联合激励和失信联合惩戒，在行业准入、项目审批、招标投标、政府采购、财政补助等流程依法依规进行信用联合奖惩。推进“信易贷”建设，为银行业金融机构开展信用风险评估、信用画像提供丰富、精准的信用数据。打造“区块链</w:t>
      </w:r>
      <w:r>
        <w:rPr>
          <w:rFonts w:hint="eastAsia"/>
        </w:rPr>
        <w:t>+</w:t>
      </w:r>
      <w:r>
        <w:rPr>
          <w:rFonts w:hint="eastAsia"/>
        </w:rPr>
        <w:t>信用服务”，在保障数据安全的前提下实现区域间信用信息互通共享。</w:t>
      </w:r>
    </w:p>
    <w:tbl>
      <w:tblPr>
        <w:tblStyle w:val="ab"/>
        <w:tblW w:w="8296" w:type="dxa"/>
        <w:tblLayout w:type="fixed"/>
        <w:tblLook w:val="04A0" w:firstRow="1" w:lastRow="0" w:firstColumn="1" w:lastColumn="0" w:noHBand="0" w:noVBand="1"/>
      </w:tblPr>
      <w:tblGrid>
        <w:gridCol w:w="8296"/>
      </w:tblGrid>
      <w:tr w:rsidR="00E51332">
        <w:tc>
          <w:tcPr>
            <w:tcW w:w="8296" w:type="dxa"/>
          </w:tcPr>
          <w:p w:rsidR="00E51332" w:rsidRDefault="00B767C7">
            <w:pPr>
              <w:spacing w:line="384" w:lineRule="auto"/>
              <w:ind w:firstLineChars="0" w:firstLine="0"/>
              <w:jc w:val="center"/>
              <w:rPr>
                <w:rFonts w:eastAsia="黑体"/>
                <w:kern w:val="0"/>
                <w:sz w:val="28"/>
                <w:szCs w:val="20"/>
              </w:rPr>
            </w:pPr>
            <w:r>
              <w:rPr>
                <w:rFonts w:eastAsia="黑体"/>
                <w:kern w:val="0"/>
                <w:sz w:val="28"/>
                <w:szCs w:val="20"/>
              </w:rPr>
              <w:t>专栏</w:t>
            </w:r>
            <w:r>
              <w:rPr>
                <w:rFonts w:eastAsia="黑体"/>
                <w:kern w:val="0"/>
                <w:sz w:val="28"/>
                <w:szCs w:val="20"/>
              </w:rPr>
              <w:t xml:space="preserve"> </w:t>
            </w:r>
            <w:r>
              <w:rPr>
                <w:rFonts w:eastAsia="黑体" w:hint="eastAsia"/>
                <w:kern w:val="0"/>
                <w:sz w:val="28"/>
                <w:szCs w:val="20"/>
              </w:rPr>
              <w:t>8</w:t>
            </w:r>
            <w:r>
              <w:rPr>
                <w:rFonts w:eastAsia="黑体"/>
                <w:kern w:val="0"/>
                <w:sz w:val="28"/>
                <w:szCs w:val="20"/>
              </w:rPr>
              <w:t xml:space="preserve"> </w:t>
            </w:r>
            <w:r>
              <w:rPr>
                <w:rFonts w:eastAsia="黑体" w:hint="eastAsia"/>
                <w:kern w:val="0"/>
                <w:sz w:val="28"/>
                <w:szCs w:val="20"/>
              </w:rPr>
              <w:t>市场治理</w:t>
            </w:r>
            <w:r>
              <w:rPr>
                <w:rFonts w:eastAsia="黑体"/>
                <w:kern w:val="0"/>
                <w:sz w:val="28"/>
                <w:szCs w:val="20"/>
              </w:rPr>
              <w:t>重点</w:t>
            </w:r>
            <w:r>
              <w:rPr>
                <w:rFonts w:eastAsia="黑体" w:hint="eastAsia"/>
                <w:kern w:val="0"/>
                <w:sz w:val="28"/>
                <w:szCs w:val="20"/>
              </w:rPr>
              <w:t>项目</w:t>
            </w:r>
          </w:p>
        </w:tc>
      </w:tr>
      <w:tr w:rsidR="00E51332">
        <w:tc>
          <w:tcPr>
            <w:tcW w:w="8296" w:type="dxa"/>
          </w:tcPr>
          <w:p w:rsidR="00E51332" w:rsidRDefault="00B767C7">
            <w:pPr>
              <w:snapToGrid w:val="0"/>
              <w:spacing w:line="480" w:lineRule="exact"/>
              <w:ind w:firstLine="560"/>
              <w:rPr>
                <w:rFonts w:ascii="仿宋_GB2312"/>
                <w:kern w:val="0"/>
                <w:sz w:val="28"/>
                <w:szCs w:val="24"/>
              </w:rPr>
            </w:pPr>
            <w:r>
              <w:rPr>
                <w:rFonts w:eastAsia="楷体_GB2312" w:hint="eastAsia"/>
                <w:kern w:val="0"/>
                <w:sz w:val="28"/>
                <w:szCs w:val="24"/>
              </w:rPr>
              <w:t>“互联网</w:t>
            </w:r>
            <w:r>
              <w:rPr>
                <w:rFonts w:eastAsia="楷体_GB2312" w:hint="eastAsia"/>
                <w:kern w:val="0"/>
                <w:sz w:val="28"/>
                <w:szCs w:val="24"/>
              </w:rPr>
              <w:t>+</w:t>
            </w:r>
            <w:r>
              <w:rPr>
                <w:rFonts w:eastAsia="楷体_GB2312" w:hint="eastAsia"/>
                <w:kern w:val="0"/>
                <w:sz w:val="28"/>
                <w:szCs w:val="24"/>
              </w:rPr>
              <w:t>监管”平台</w:t>
            </w:r>
            <w:r>
              <w:rPr>
                <w:rFonts w:ascii="仿宋_GB2312" w:hint="eastAsia"/>
                <w:kern w:val="0"/>
                <w:sz w:val="28"/>
                <w:szCs w:val="24"/>
              </w:rPr>
              <w:t>。建设完善全市统一的“互联网+监管”平台，为各级监管部门实施“双随机、</w:t>
            </w:r>
            <w:proofErr w:type="gramStart"/>
            <w:r>
              <w:rPr>
                <w:rFonts w:ascii="仿宋_GB2312" w:hint="eastAsia"/>
                <w:kern w:val="0"/>
                <w:sz w:val="28"/>
                <w:szCs w:val="24"/>
              </w:rPr>
              <w:t>一</w:t>
            </w:r>
            <w:proofErr w:type="gramEnd"/>
            <w:r>
              <w:rPr>
                <w:rFonts w:ascii="仿宋_GB2312" w:hint="eastAsia"/>
                <w:kern w:val="0"/>
                <w:sz w:val="28"/>
                <w:szCs w:val="24"/>
              </w:rPr>
              <w:t>公开”监管工作提供基础支撑和服务。</w:t>
            </w:r>
          </w:p>
          <w:p w:rsidR="00E51332" w:rsidRDefault="00B767C7">
            <w:pPr>
              <w:snapToGrid w:val="0"/>
              <w:spacing w:line="480" w:lineRule="exact"/>
              <w:ind w:firstLine="560"/>
              <w:rPr>
                <w:rFonts w:ascii="仿宋_GB2312"/>
                <w:kern w:val="0"/>
                <w:sz w:val="28"/>
                <w:szCs w:val="24"/>
              </w:rPr>
            </w:pPr>
            <w:r>
              <w:rPr>
                <w:rFonts w:eastAsia="楷体_GB2312" w:hint="eastAsia"/>
                <w:kern w:val="0"/>
                <w:sz w:val="28"/>
                <w:szCs w:val="24"/>
              </w:rPr>
              <w:t>“风险预警和应急处置系统</w:t>
            </w:r>
            <w:r>
              <w:rPr>
                <w:rFonts w:ascii="仿宋_GB2312" w:hint="eastAsia"/>
                <w:kern w:val="0"/>
                <w:sz w:val="28"/>
                <w:szCs w:val="24"/>
              </w:rPr>
              <w:t>。建设风险预警和应急处置系统，对行政许可、日常检查、监督抽检、举报投诉等来源的风险因素和联动信息资源进行分析整合，以数据分析驱动突发事件应急处置方式升级。有效提升监管精准化和智能化水平，形成我市市场监管系统的风险监测、调度、</w:t>
            </w:r>
            <w:proofErr w:type="gramStart"/>
            <w:r>
              <w:rPr>
                <w:rFonts w:ascii="仿宋_GB2312" w:hint="eastAsia"/>
                <w:kern w:val="0"/>
                <w:sz w:val="28"/>
                <w:szCs w:val="24"/>
              </w:rPr>
              <w:t>研</w:t>
            </w:r>
            <w:proofErr w:type="gramEnd"/>
            <w:r>
              <w:rPr>
                <w:rFonts w:ascii="仿宋_GB2312" w:hint="eastAsia"/>
                <w:kern w:val="0"/>
                <w:sz w:val="28"/>
                <w:szCs w:val="24"/>
              </w:rPr>
              <w:t>判、预警和指挥枢纽。</w:t>
            </w:r>
          </w:p>
          <w:p w:rsidR="00E51332" w:rsidRDefault="00B767C7">
            <w:pPr>
              <w:snapToGrid w:val="0"/>
              <w:spacing w:line="480" w:lineRule="exact"/>
              <w:ind w:firstLine="560"/>
              <w:rPr>
                <w:rFonts w:ascii="仿宋_GB2312"/>
                <w:kern w:val="0"/>
                <w:sz w:val="28"/>
                <w:szCs w:val="24"/>
              </w:rPr>
            </w:pPr>
            <w:r>
              <w:rPr>
                <w:rFonts w:eastAsia="楷体_GB2312" w:hint="eastAsia"/>
                <w:kern w:val="0"/>
                <w:sz w:val="28"/>
                <w:szCs w:val="24"/>
              </w:rPr>
              <w:t>互联网交易监管信息系统</w:t>
            </w:r>
            <w:r>
              <w:rPr>
                <w:rFonts w:ascii="仿宋_GB2312" w:hint="eastAsia"/>
                <w:kern w:val="0"/>
                <w:sz w:val="28"/>
                <w:szCs w:val="24"/>
              </w:rPr>
              <w:t>。建设互联网交易监管信息系统，实现全市网络市场主体、电商平台、公众号等网络主体行为的监管和治理，打造健康有序的互联网营商环境。</w:t>
            </w:r>
          </w:p>
          <w:p w:rsidR="00E51332" w:rsidRDefault="00B767C7">
            <w:pPr>
              <w:snapToGrid w:val="0"/>
              <w:spacing w:line="480" w:lineRule="exact"/>
              <w:ind w:firstLine="560"/>
              <w:rPr>
                <w:rFonts w:ascii="仿宋_GB2312"/>
                <w:kern w:val="0"/>
                <w:sz w:val="28"/>
                <w:szCs w:val="24"/>
              </w:rPr>
            </w:pPr>
            <w:r>
              <w:rPr>
                <w:rFonts w:eastAsia="楷体_GB2312" w:hint="eastAsia"/>
                <w:kern w:val="0"/>
                <w:sz w:val="28"/>
                <w:szCs w:val="24"/>
              </w:rPr>
              <w:lastRenderedPageBreak/>
              <w:t>信用监管服务应用</w:t>
            </w:r>
            <w:r>
              <w:rPr>
                <w:rFonts w:ascii="仿宋_GB2312" w:hint="eastAsia"/>
                <w:kern w:val="0"/>
                <w:sz w:val="28"/>
                <w:szCs w:val="24"/>
              </w:rPr>
              <w:t>。建设衔接事前、事中、事后全环节的新型信用监管平台，全面推进信用数据在政务监管、风险预警、信用奖惩等的应用，构建以信用为核心的新型监管机制。打造“区块链+信用服务”，在保障数据安全的前提下实现区域间信用信息互通共享。</w:t>
            </w:r>
          </w:p>
          <w:p w:rsidR="00E51332" w:rsidRDefault="00B767C7">
            <w:pPr>
              <w:snapToGrid w:val="0"/>
              <w:spacing w:line="480" w:lineRule="exact"/>
              <w:ind w:firstLine="560"/>
              <w:rPr>
                <w:rFonts w:ascii="仿宋_GB2312"/>
                <w:kern w:val="0"/>
                <w:sz w:val="28"/>
                <w:szCs w:val="24"/>
              </w:rPr>
            </w:pPr>
            <w:r>
              <w:rPr>
                <w:rFonts w:eastAsia="楷体_GB2312" w:hint="eastAsia"/>
                <w:kern w:val="0"/>
                <w:sz w:val="28"/>
                <w:szCs w:val="24"/>
              </w:rPr>
              <w:t>“信易贷”应用</w:t>
            </w:r>
            <w:r>
              <w:rPr>
                <w:rFonts w:ascii="仿宋_GB2312" w:hint="eastAsia"/>
                <w:kern w:val="0"/>
                <w:sz w:val="28"/>
                <w:szCs w:val="24"/>
              </w:rPr>
              <w:t>。推进“信易贷”建设，为银行业金融机构开展信用风险评估、信用画像提供丰富、精准的信用数据，更好缓解企业融资难、融资贵问题。</w:t>
            </w:r>
          </w:p>
          <w:p w:rsidR="00E51332" w:rsidRDefault="00B767C7">
            <w:pPr>
              <w:snapToGrid w:val="0"/>
              <w:spacing w:after="240" w:line="480" w:lineRule="exact"/>
              <w:ind w:firstLine="560"/>
              <w:rPr>
                <w:rFonts w:ascii="仿宋_GB2312"/>
                <w:kern w:val="0"/>
                <w:sz w:val="28"/>
                <w:szCs w:val="24"/>
              </w:rPr>
            </w:pPr>
            <w:r>
              <w:rPr>
                <w:rFonts w:eastAsia="楷体_GB2312" w:hint="eastAsia"/>
                <w:kern w:val="0"/>
                <w:sz w:val="28"/>
                <w:szCs w:val="24"/>
              </w:rPr>
              <w:t>“信用宝”应用</w:t>
            </w:r>
            <w:r>
              <w:rPr>
                <w:rFonts w:ascii="仿宋_GB2312" w:hint="eastAsia"/>
                <w:kern w:val="0"/>
                <w:sz w:val="28"/>
                <w:szCs w:val="24"/>
              </w:rPr>
              <w:t>。推进“信用宝”建设，在市场监管、文化执法、劳动监察、生态环境等领域探索承诺制和</w:t>
            </w:r>
            <w:proofErr w:type="gramStart"/>
            <w:r>
              <w:rPr>
                <w:rFonts w:ascii="仿宋_GB2312" w:hint="eastAsia"/>
                <w:kern w:val="0"/>
                <w:sz w:val="28"/>
                <w:szCs w:val="24"/>
              </w:rPr>
              <w:t>容缺</w:t>
            </w:r>
            <w:proofErr w:type="gramEnd"/>
            <w:r>
              <w:rPr>
                <w:rFonts w:ascii="仿宋_GB2312" w:hint="eastAsia"/>
                <w:kern w:val="0"/>
                <w:sz w:val="28"/>
                <w:szCs w:val="24"/>
              </w:rPr>
              <w:t>制新型服务，进一步推动简政放权，优化营商环境。</w:t>
            </w:r>
          </w:p>
        </w:tc>
      </w:tr>
    </w:tbl>
    <w:p w:rsidR="00E51332" w:rsidRDefault="00B767C7">
      <w:pPr>
        <w:ind w:firstLine="643"/>
        <w:rPr>
          <w:b/>
          <w:bCs/>
        </w:rPr>
      </w:pPr>
      <w:r>
        <w:rPr>
          <w:rFonts w:hint="eastAsia"/>
          <w:b/>
          <w:bCs/>
        </w:rPr>
        <w:lastRenderedPageBreak/>
        <w:t>（</w:t>
      </w:r>
      <w:r>
        <w:rPr>
          <w:b/>
          <w:bCs/>
        </w:rPr>
        <w:t>3</w:t>
      </w:r>
      <w:r>
        <w:rPr>
          <w:rFonts w:hint="eastAsia"/>
          <w:b/>
          <w:bCs/>
        </w:rPr>
        <w:t>）推进生态治理智慧化建设。</w:t>
      </w:r>
    </w:p>
    <w:p w:rsidR="00E51332" w:rsidRDefault="00B767C7">
      <w:pPr>
        <w:ind w:firstLine="643"/>
      </w:pPr>
      <w:r>
        <w:rPr>
          <w:rFonts w:hint="eastAsia"/>
          <w:b/>
          <w:bCs/>
        </w:rPr>
        <w:t>——提升生态环境感知监测</w:t>
      </w:r>
      <w:r>
        <w:rPr>
          <w:rFonts w:hint="eastAsia"/>
        </w:rPr>
        <w:t>。推动天地一体化生态监测，通过无人机、无人船和生态传感器等监测技术手段在生态环境要素调查领域的运用，建立全天候、多层次的生态监测网。加强生态环境、自然资源、水务、林业和气象等部门信息的集约共享，形成海陆统筹、天地一体、上下协同、信息共享的全域生态敏捷感知网，为生态资源开发利用、生态监管、处理及保护和修复等工作提供全面的信息支持。</w:t>
      </w:r>
    </w:p>
    <w:p w:rsidR="00E51332" w:rsidRDefault="00B767C7">
      <w:pPr>
        <w:ind w:firstLine="643"/>
      </w:pPr>
      <w:r>
        <w:rPr>
          <w:rFonts w:hint="eastAsia"/>
          <w:b/>
          <w:bCs/>
        </w:rPr>
        <w:t>——强化生态资源优化利用</w:t>
      </w:r>
      <w:r>
        <w:rPr>
          <w:rFonts w:hint="eastAsia"/>
        </w:rPr>
        <w:t>。推进生态资源数据资源体系建设，全面支撑山水林田湖草生命共同体的一体化，实现“一张图”管理、分析和决策。提升林业资源管理数字化水平，加强林业信息资源和数据的共享，提高管理水平和决策能力，保障江门市森林生态的健康稳定发展。全面实施“互联网</w:t>
      </w:r>
      <w:r>
        <w:rPr>
          <w:rFonts w:hint="eastAsia"/>
        </w:rPr>
        <w:t>+</w:t>
      </w:r>
      <w:r>
        <w:rPr>
          <w:rFonts w:hint="eastAsia"/>
        </w:rPr>
        <w:t>现代水利”，推进水利综合监测应用和水灾害防御应用、</w:t>
      </w:r>
      <w:r>
        <w:rPr>
          <w:rFonts w:hint="eastAsia"/>
        </w:rPr>
        <w:lastRenderedPageBreak/>
        <w:t>水资源管理应用建设，全面构建智慧周到水文综合服务体系。</w:t>
      </w:r>
    </w:p>
    <w:p w:rsidR="00E51332" w:rsidRDefault="00B767C7">
      <w:pPr>
        <w:ind w:firstLine="643"/>
      </w:pPr>
      <w:r>
        <w:rPr>
          <w:rFonts w:hint="eastAsia"/>
          <w:b/>
          <w:bCs/>
        </w:rPr>
        <w:t>——加强生态环境综合监管</w:t>
      </w:r>
      <w:r>
        <w:rPr>
          <w:rFonts w:hint="eastAsia"/>
        </w:rPr>
        <w:t>。全面加强污染防治和环境保护，实现污染源、散乱污染企业、医疗废物以及固体废物等污染物（源）的精细化管理，完善污染源监管“一源一档”，通过污染源、环境质量数据等综合分析，协助执法人员精准执法。持续全面推行河（湖）长制，进一步提升河湖管护工作智能化、精细化、科学化水平，推动对河流的全生命周期管理，汇聚水资源、岸线管理、水污染、水环境、水生态修复等方面相关数据资源，实现对河流的精准画像，为生态环境管理提供数据化、智能化决策支撑。</w:t>
      </w:r>
    </w:p>
    <w:p w:rsidR="00E51332" w:rsidRDefault="00B767C7">
      <w:pPr>
        <w:ind w:firstLine="643"/>
      </w:pPr>
      <w:r>
        <w:rPr>
          <w:rFonts w:hint="eastAsia"/>
          <w:b/>
          <w:bCs/>
        </w:rPr>
        <w:t>——提高生态文明修复能力</w:t>
      </w:r>
      <w:r>
        <w:rPr>
          <w:rFonts w:hint="eastAsia"/>
        </w:rPr>
        <w:t>。</w:t>
      </w:r>
      <w:r>
        <w:rPr>
          <w:rFonts w:ascii="仿宋_GB2312" w:hint="eastAsia"/>
          <w:szCs w:val="24"/>
        </w:rPr>
        <w:t>加大“粤省事-护林码”推广应用力度。</w:t>
      </w:r>
      <w:r>
        <w:rPr>
          <w:rFonts w:hint="eastAsia"/>
        </w:rPr>
        <w:t>建立用地土壤污染风险管控和修复名录系统，落实监管责任，严格用地准入，土地开发利用必须符合土壤环境质量要求。优化监管执法方式，健全以“双随机</w:t>
      </w:r>
      <w:proofErr w:type="gramStart"/>
      <w:r>
        <w:rPr>
          <w:rFonts w:hint="eastAsia"/>
        </w:rPr>
        <w:t>一</w:t>
      </w:r>
      <w:proofErr w:type="gramEnd"/>
      <w:r>
        <w:rPr>
          <w:rFonts w:hint="eastAsia"/>
        </w:rPr>
        <w:t>公开”监管为基本手段、以重点监管为补充的新型监管机制，切实提高执法效能。</w:t>
      </w:r>
    </w:p>
    <w:tbl>
      <w:tblPr>
        <w:tblStyle w:val="ab"/>
        <w:tblW w:w="8296" w:type="dxa"/>
        <w:tblLayout w:type="fixed"/>
        <w:tblLook w:val="04A0" w:firstRow="1" w:lastRow="0" w:firstColumn="1" w:lastColumn="0" w:noHBand="0" w:noVBand="1"/>
      </w:tblPr>
      <w:tblGrid>
        <w:gridCol w:w="8296"/>
      </w:tblGrid>
      <w:tr w:rsidR="00E51332">
        <w:tc>
          <w:tcPr>
            <w:tcW w:w="8296" w:type="dxa"/>
          </w:tcPr>
          <w:p w:rsidR="00E51332" w:rsidRDefault="00B767C7">
            <w:pPr>
              <w:spacing w:line="384" w:lineRule="auto"/>
              <w:ind w:firstLineChars="0" w:firstLine="0"/>
              <w:jc w:val="center"/>
              <w:rPr>
                <w:rFonts w:eastAsia="黑体"/>
                <w:kern w:val="0"/>
                <w:sz w:val="28"/>
                <w:szCs w:val="20"/>
              </w:rPr>
            </w:pPr>
            <w:r>
              <w:rPr>
                <w:rFonts w:eastAsia="黑体"/>
                <w:kern w:val="0"/>
                <w:sz w:val="28"/>
                <w:szCs w:val="20"/>
              </w:rPr>
              <w:t>专栏</w:t>
            </w:r>
            <w:r>
              <w:rPr>
                <w:rFonts w:eastAsia="黑体"/>
                <w:kern w:val="0"/>
                <w:sz w:val="28"/>
                <w:szCs w:val="20"/>
              </w:rPr>
              <w:t xml:space="preserve"> </w:t>
            </w:r>
            <w:r>
              <w:rPr>
                <w:rFonts w:eastAsia="黑体" w:hint="eastAsia"/>
                <w:kern w:val="0"/>
                <w:sz w:val="28"/>
                <w:szCs w:val="20"/>
              </w:rPr>
              <w:t>9</w:t>
            </w:r>
            <w:r>
              <w:rPr>
                <w:rFonts w:eastAsia="黑体"/>
                <w:kern w:val="0"/>
                <w:sz w:val="28"/>
                <w:szCs w:val="20"/>
              </w:rPr>
              <w:t xml:space="preserve"> </w:t>
            </w:r>
            <w:r>
              <w:rPr>
                <w:rFonts w:eastAsia="黑体" w:hint="eastAsia"/>
                <w:kern w:val="0"/>
                <w:sz w:val="28"/>
                <w:szCs w:val="20"/>
              </w:rPr>
              <w:t>生态治理</w:t>
            </w:r>
            <w:r>
              <w:rPr>
                <w:rFonts w:eastAsia="黑体"/>
                <w:kern w:val="0"/>
                <w:sz w:val="28"/>
                <w:szCs w:val="20"/>
              </w:rPr>
              <w:t>重点</w:t>
            </w:r>
            <w:r>
              <w:rPr>
                <w:rFonts w:eastAsia="黑体" w:hint="eastAsia"/>
                <w:kern w:val="0"/>
                <w:sz w:val="28"/>
                <w:szCs w:val="20"/>
              </w:rPr>
              <w:t>项目</w:t>
            </w:r>
          </w:p>
        </w:tc>
      </w:tr>
      <w:tr w:rsidR="00E51332">
        <w:tc>
          <w:tcPr>
            <w:tcW w:w="8296" w:type="dxa"/>
          </w:tcPr>
          <w:p w:rsidR="00E51332" w:rsidRDefault="00B767C7">
            <w:pPr>
              <w:snapToGrid w:val="0"/>
              <w:spacing w:line="480" w:lineRule="exact"/>
              <w:ind w:firstLine="560"/>
              <w:rPr>
                <w:rFonts w:ascii="仿宋_GB2312"/>
                <w:kern w:val="0"/>
                <w:sz w:val="28"/>
                <w:szCs w:val="24"/>
              </w:rPr>
            </w:pPr>
            <w:r>
              <w:rPr>
                <w:rFonts w:eastAsia="楷体_GB2312" w:hint="eastAsia"/>
                <w:kern w:val="0"/>
                <w:sz w:val="28"/>
                <w:szCs w:val="24"/>
              </w:rPr>
              <w:t>生态环境智慧平台</w:t>
            </w:r>
            <w:r>
              <w:rPr>
                <w:rFonts w:ascii="仿宋_GB2312" w:hint="eastAsia"/>
                <w:kern w:val="0"/>
                <w:sz w:val="28"/>
                <w:szCs w:val="24"/>
              </w:rPr>
              <w:t>。加强生态环境数据资源整合，建设全区域生态环境智慧平台，对环境进行预测分析、形势</w:t>
            </w:r>
            <w:proofErr w:type="gramStart"/>
            <w:r>
              <w:rPr>
                <w:rFonts w:ascii="仿宋_GB2312" w:hint="eastAsia"/>
                <w:kern w:val="0"/>
                <w:sz w:val="28"/>
                <w:szCs w:val="24"/>
              </w:rPr>
              <w:t>研</w:t>
            </w:r>
            <w:proofErr w:type="gramEnd"/>
            <w:r>
              <w:rPr>
                <w:rFonts w:ascii="仿宋_GB2312" w:hint="eastAsia"/>
                <w:kern w:val="0"/>
                <w:sz w:val="28"/>
                <w:szCs w:val="24"/>
              </w:rPr>
              <w:t>判、环境承载力分析。</w:t>
            </w:r>
          </w:p>
          <w:p w:rsidR="00E51332" w:rsidRDefault="00B767C7">
            <w:pPr>
              <w:snapToGrid w:val="0"/>
              <w:spacing w:line="480" w:lineRule="exact"/>
              <w:ind w:firstLine="560"/>
              <w:rPr>
                <w:rFonts w:ascii="仿宋_GB2312"/>
                <w:kern w:val="0"/>
                <w:sz w:val="28"/>
                <w:szCs w:val="24"/>
              </w:rPr>
            </w:pPr>
            <w:r>
              <w:rPr>
                <w:rFonts w:eastAsia="楷体_GB2312" w:hint="eastAsia"/>
                <w:kern w:val="0"/>
                <w:sz w:val="28"/>
                <w:szCs w:val="24"/>
              </w:rPr>
              <w:t>智能生态监测网</w:t>
            </w:r>
            <w:r>
              <w:rPr>
                <w:rFonts w:ascii="仿宋_GB2312" w:hint="eastAsia"/>
                <w:kern w:val="0"/>
                <w:sz w:val="28"/>
                <w:szCs w:val="24"/>
              </w:rPr>
              <w:t>。通过无人机、无人船和生态传感器等监测技术手段，建立全天候、多层次生态监测网，统一采集、处理分析污染源数据，为生态环境智能化分析提供数据支持。</w:t>
            </w:r>
          </w:p>
          <w:p w:rsidR="00E51332" w:rsidRDefault="00B767C7">
            <w:pPr>
              <w:snapToGrid w:val="0"/>
              <w:spacing w:line="480" w:lineRule="exact"/>
              <w:ind w:firstLine="560"/>
              <w:rPr>
                <w:rFonts w:ascii="仿宋_GB2312"/>
                <w:kern w:val="0"/>
                <w:sz w:val="28"/>
                <w:szCs w:val="24"/>
              </w:rPr>
            </w:pPr>
            <w:r>
              <w:rPr>
                <w:rFonts w:eastAsia="楷体_GB2312" w:hint="eastAsia"/>
                <w:kern w:val="0"/>
                <w:sz w:val="28"/>
                <w:szCs w:val="24"/>
              </w:rPr>
              <w:t>生态环境全景图</w:t>
            </w:r>
            <w:r>
              <w:rPr>
                <w:rFonts w:ascii="仿宋_GB2312" w:hint="eastAsia"/>
                <w:kern w:val="0"/>
                <w:sz w:val="28"/>
                <w:szCs w:val="24"/>
              </w:rPr>
              <w:t>。建设全市生态环境全景视图，以“一张图”</w:t>
            </w:r>
            <w:r>
              <w:rPr>
                <w:rFonts w:ascii="仿宋_GB2312" w:hint="eastAsia"/>
                <w:kern w:val="0"/>
                <w:sz w:val="28"/>
                <w:szCs w:val="24"/>
              </w:rPr>
              <w:lastRenderedPageBreak/>
              <w:t>可视化方式呈现全市生态环境情况，快速掌握关键生态指标动态情况，并通过模型模拟分析、场景仿真、预案智能匹配、综合应急调度，为生态环境开发利用、生态监管、处理及保护和修复等工作提供全面的信息支持。</w:t>
            </w:r>
          </w:p>
          <w:p w:rsidR="00E51332" w:rsidRDefault="00B767C7">
            <w:pPr>
              <w:snapToGrid w:val="0"/>
              <w:spacing w:after="240" w:line="480" w:lineRule="exact"/>
              <w:ind w:firstLine="560"/>
              <w:rPr>
                <w:rFonts w:ascii="仿宋_GB2312"/>
                <w:kern w:val="0"/>
                <w:sz w:val="28"/>
                <w:szCs w:val="24"/>
              </w:rPr>
            </w:pPr>
            <w:r>
              <w:rPr>
                <w:rFonts w:eastAsia="楷体_GB2312" w:hint="eastAsia"/>
                <w:kern w:val="0"/>
                <w:sz w:val="28"/>
                <w:szCs w:val="24"/>
              </w:rPr>
              <w:t>环保巡查监管执法系统</w:t>
            </w:r>
            <w:r>
              <w:rPr>
                <w:rFonts w:ascii="仿宋_GB2312" w:hint="eastAsia"/>
                <w:kern w:val="0"/>
                <w:sz w:val="28"/>
                <w:szCs w:val="24"/>
              </w:rPr>
              <w:t>。建设巡查监管执法系统，对各类环保事件进行</w:t>
            </w:r>
            <w:proofErr w:type="gramStart"/>
            <w:r>
              <w:rPr>
                <w:rFonts w:ascii="仿宋_GB2312" w:hint="eastAsia"/>
                <w:kern w:val="0"/>
                <w:sz w:val="28"/>
                <w:szCs w:val="24"/>
              </w:rPr>
              <w:t>分拨管</w:t>
            </w:r>
            <w:proofErr w:type="gramEnd"/>
            <w:r>
              <w:rPr>
                <w:rFonts w:ascii="仿宋_GB2312" w:hint="eastAsia"/>
                <w:kern w:val="0"/>
                <w:sz w:val="28"/>
                <w:szCs w:val="24"/>
              </w:rPr>
              <w:t>控、及时处置，实现巡查监管执法一体化。</w:t>
            </w:r>
          </w:p>
        </w:tc>
      </w:tr>
    </w:tbl>
    <w:p w:rsidR="00E51332" w:rsidRDefault="00B767C7">
      <w:pPr>
        <w:pStyle w:val="3"/>
        <w:ind w:firstLine="643"/>
      </w:pPr>
      <w:r>
        <w:rPr>
          <w:rFonts w:hint="eastAsia"/>
        </w:rPr>
        <w:lastRenderedPageBreak/>
        <w:t>构建“一网统管”治理体系。</w:t>
      </w:r>
    </w:p>
    <w:p w:rsidR="00E51332" w:rsidRDefault="00B767C7">
      <w:pPr>
        <w:ind w:firstLine="643"/>
      </w:pPr>
      <w:bookmarkStart w:id="80" w:name="_Toc61464610"/>
      <w:r>
        <w:rPr>
          <w:rFonts w:hint="eastAsia"/>
          <w:b/>
          <w:bCs/>
        </w:rPr>
        <w:t>（</w:t>
      </w:r>
      <w:r>
        <w:rPr>
          <w:rFonts w:hint="eastAsia"/>
          <w:b/>
          <w:bCs/>
        </w:rPr>
        <w:t>1</w:t>
      </w:r>
      <w:r>
        <w:rPr>
          <w:rFonts w:hint="eastAsia"/>
          <w:b/>
          <w:bCs/>
        </w:rPr>
        <w:t>）强化“一网统管”顶层设计。</w:t>
      </w:r>
      <w:r>
        <w:rPr>
          <w:rFonts w:hint="eastAsia"/>
        </w:rPr>
        <w:t>出台完善“一网统管”指导性文件，推进“一网统管”工作落实。建立健全“一网统管”专项工作制度，成立专班协调解决重大事项，推动重点工作落实。</w:t>
      </w:r>
    </w:p>
    <w:p w:rsidR="00E51332" w:rsidRDefault="00B767C7">
      <w:pPr>
        <w:ind w:firstLine="643"/>
      </w:pPr>
      <w:r>
        <w:rPr>
          <w:rFonts w:hint="eastAsia"/>
          <w:b/>
          <w:bCs/>
        </w:rPr>
        <w:t>（</w:t>
      </w:r>
      <w:r>
        <w:rPr>
          <w:rFonts w:hint="eastAsia"/>
          <w:b/>
          <w:bCs/>
        </w:rPr>
        <w:t>2</w:t>
      </w:r>
      <w:r>
        <w:rPr>
          <w:rFonts w:hint="eastAsia"/>
          <w:b/>
          <w:bCs/>
        </w:rPr>
        <w:t>）加强与省“一网统管”体系对接。</w:t>
      </w:r>
      <w:r>
        <w:rPr>
          <w:rFonts w:hint="eastAsia"/>
        </w:rPr>
        <w:t>按照省统一标准规范，积极向上对接，实现省、市、县三级平台互联互通、数据同步、业务协同。贯彻落实包括总体标准、平台标准、服务标准和数据标准在内的“一网统管”技术标准规范，提高政府数字化治理的整体性、规范性。</w:t>
      </w:r>
    </w:p>
    <w:p w:rsidR="00E51332" w:rsidRDefault="00B767C7">
      <w:pPr>
        <w:ind w:firstLine="643"/>
      </w:pPr>
      <w:r>
        <w:rPr>
          <w:rFonts w:hint="eastAsia"/>
          <w:b/>
          <w:bCs/>
        </w:rPr>
        <w:t>（</w:t>
      </w:r>
      <w:r>
        <w:rPr>
          <w:rFonts w:hint="eastAsia"/>
          <w:b/>
          <w:bCs/>
        </w:rPr>
        <w:t>3</w:t>
      </w:r>
      <w:r>
        <w:rPr>
          <w:rFonts w:hint="eastAsia"/>
          <w:b/>
          <w:bCs/>
        </w:rPr>
        <w:t>）建立“一网统管”科学指挥调度机制。</w:t>
      </w:r>
      <w:r>
        <w:rPr>
          <w:rFonts w:hint="eastAsia"/>
        </w:rPr>
        <w:t>统一市、县、镇、村四级管控指挥体系，规范各级指挥中心建设，形成联动指挥、多级管控的全市指挥调度“一盘棋”长效机制。健全政府社会协同共治机制，推进“市级统筹、两级指挥、三级平台、四级应用”总体建设格局，促进跨部门跨系统的协作，实现统一接报，统一指挥，有效支撑综合治理事件处理。</w:t>
      </w:r>
    </w:p>
    <w:p w:rsidR="00E51332" w:rsidRDefault="00B767C7">
      <w:pPr>
        <w:pStyle w:val="2"/>
        <w:spacing w:before="156" w:after="156"/>
        <w:ind w:firstLine="643"/>
        <w:rPr>
          <w:bCs w:val="0"/>
        </w:rPr>
      </w:pPr>
      <w:bookmarkStart w:id="81" w:name="_Toc66093958"/>
      <w:bookmarkStart w:id="82" w:name="_Toc64903396"/>
      <w:bookmarkStart w:id="83" w:name="_Toc63596504"/>
      <w:bookmarkEnd w:id="80"/>
      <w:r>
        <w:rPr>
          <w:rFonts w:hint="eastAsia"/>
          <w:bCs w:val="0"/>
        </w:rPr>
        <w:lastRenderedPageBreak/>
        <w:t>数字优政，全面构建协同高效政府。</w:t>
      </w:r>
      <w:bookmarkEnd w:id="81"/>
      <w:bookmarkEnd w:id="82"/>
      <w:bookmarkEnd w:id="83"/>
    </w:p>
    <w:p w:rsidR="00E51332" w:rsidRDefault="00B767C7">
      <w:pPr>
        <w:pStyle w:val="3"/>
        <w:ind w:firstLine="643"/>
      </w:pPr>
      <w:bookmarkStart w:id="84" w:name="_Toc66354517"/>
      <w:r>
        <w:rPr>
          <w:rFonts w:hint="eastAsia"/>
        </w:rPr>
        <w:t>提升行政办公高效化</w:t>
      </w:r>
      <w:bookmarkEnd w:id="84"/>
      <w:r w:rsidR="00A33C1C">
        <w:rPr>
          <w:rFonts w:hint="eastAsia"/>
        </w:rPr>
        <w:t>。</w:t>
      </w:r>
    </w:p>
    <w:p w:rsidR="00E51332" w:rsidRDefault="00B767C7">
      <w:pPr>
        <w:ind w:firstLine="643"/>
      </w:pPr>
      <w:r>
        <w:rPr>
          <w:rFonts w:hint="eastAsia"/>
          <w:b/>
          <w:bCs/>
        </w:rPr>
        <w:t>（</w:t>
      </w:r>
      <w:r>
        <w:rPr>
          <w:rFonts w:hint="eastAsia"/>
          <w:b/>
          <w:bCs/>
        </w:rPr>
        <w:t>1</w:t>
      </w:r>
      <w:r>
        <w:rPr>
          <w:rFonts w:hint="eastAsia"/>
          <w:b/>
          <w:bCs/>
        </w:rPr>
        <w:t>）完善一体化协同办公平台</w:t>
      </w:r>
      <w:r>
        <w:rPr>
          <w:rFonts w:hint="eastAsia"/>
        </w:rPr>
        <w:t>。优化完善现有政务协同办公平台，推动市政务协同办公平台与省级办公平台、市（区）办公平台互联互通，拓展协同办公平台办文办会办事能力，集成各部门个性化需求服务，实现各级办公自动化系统互联互通，非涉密公文及各种文件传输互通，推动扁平、透明、移动、智能的办公方式。</w:t>
      </w:r>
    </w:p>
    <w:p w:rsidR="00E51332" w:rsidRDefault="00B767C7">
      <w:pPr>
        <w:ind w:firstLine="643"/>
      </w:pPr>
      <w:r>
        <w:rPr>
          <w:rFonts w:hint="eastAsia"/>
          <w:b/>
          <w:bCs/>
        </w:rPr>
        <w:t>（</w:t>
      </w:r>
      <w:r>
        <w:rPr>
          <w:rFonts w:hint="eastAsia"/>
          <w:b/>
          <w:bCs/>
        </w:rPr>
        <w:t>2</w:t>
      </w:r>
      <w:r>
        <w:rPr>
          <w:rFonts w:hint="eastAsia"/>
          <w:b/>
          <w:bCs/>
        </w:rPr>
        <w:t>）推广移动办公应用</w:t>
      </w:r>
      <w:r>
        <w:rPr>
          <w:rFonts w:hint="eastAsia"/>
        </w:rPr>
        <w:t>。推动市政务协同办公平台与“粤政易”互联互通，加大“粤政易”推广应用力度，实现全市覆盖，形成有线无线相结合的移动办公模式，实现省市县“掌上协同联动”。推广使用基于“粤政易”的“粤视会”视频系统，满足高度扩展、集成化以及智能化的会议需求，满足视频会议、视频会商、业务培训、指挥调度等业务应用需求，减少人员聚集，提高工作效率。</w:t>
      </w:r>
    </w:p>
    <w:p w:rsidR="00E51332" w:rsidRDefault="00B767C7">
      <w:pPr>
        <w:ind w:firstLine="643"/>
      </w:pPr>
      <w:r>
        <w:rPr>
          <w:rFonts w:hint="eastAsia"/>
          <w:b/>
          <w:bCs/>
        </w:rPr>
        <w:t>（</w:t>
      </w:r>
      <w:r>
        <w:rPr>
          <w:b/>
          <w:bCs/>
        </w:rPr>
        <w:t>3</w:t>
      </w:r>
      <w:r>
        <w:rPr>
          <w:rFonts w:hint="eastAsia"/>
          <w:b/>
          <w:bCs/>
        </w:rPr>
        <w:t>）推动内部办事“零跑动”</w:t>
      </w:r>
      <w:r>
        <w:rPr>
          <w:rFonts w:hint="eastAsia"/>
        </w:rPr>
        <w:t>。以构建“整体政府”为目标，围绕机关工作人员在录用、转任、调任、职务职级变动、调出、辞职、辞退、开除、退休等生命周期，聚焦政务业务协同流程再造，梳理跨层级、跨部门、跨系统“零跑动”事项清单，打造“一张表单申请、一个平台联办、一次跑动结束”新模式，切实提高政府内部协同效能。</w:t>
      </w:r>
    </w:p>
    <w:p w:rsidR="00E51332" w:rsidRDefault="00B767C7">
      <w:pPr>
        <w:ind w:firstLine="643"/>
      </w:pPr>
      <w:r>
        <w:rPr>
          <w:rFonts w:hint="eastAsia"/>
          <w:b/>
          <w:bCs/>
        </w:rPr>
        <w:t>（</w:t>
      </w:r>
      <w:r>
        <w:rPr>
          <w:b/>
          <w:bCs/>
        </w:rPr>
        <w:t>4</w:t>
      </w:r>
      <w:r>
        <w:rPr>
          <w:rFonts w:hint="eastAsia"/>
          <w:b/>
          <w:bCs/>
        </w:rPr>
        <w:t>）推动基层减负提质增效</w:t>
      </w:r>
      <w:r>
        <w:rPr>
          <w:rFonts w:hint="eastAsia"/>
        </w:rPr>
        <w:t>。完善村（居）自治事项</w:t>
      </w:r>
      <w:r>
        <w:rPr>
          <w:rFonts w:hint="eastAsia"/>
        </w:rPr>
        <w:lastRenderedPageBreak/>
        <w:t>清单、协助政府事项清单、负面事项清单等，以清单制切实减轻基层负担。推进各级各类报表简化合并，形成本级要求下级上报数据“一张表”，切实解决各地各部门报表重复交叉多的问题。强化公共数据资源共享，全市推行在线报送数据“一张表”方式，减少基层重复填报的报表、台账，为广大基层干部减负增效。</w:t>
      </w:r>
    </w:p>
    <w:p w:rsidR="00E51332" w:rsidRDefault="00B767C7">
      <w:pPr>
        <w:ind w:firstLine="643"/>
      </w:pPr>
      <w:r>
        <w:rPr>
          <w:rFonts w:hint="eastAsia"/>
          <w:b/>
          <w:bCs/>
        </w:rPr>
        <w:t>（</w:t>
      </w:r>
      <w:r>
        <w:rPr>
          <w:b/>
          <w:bCs/>
        </w:rPr>
        <w:t>5</w:t>
      </w:r>
      <w:r>
        <w:rPr>
          <w:rFonts w:hint="eastAsia"/>
          <w:b/>
          <w:bCs/>
        </w:rPr>
        <w:t>）完善三级督查系统</w:t>
      </w:r>
      <w:r>
        <w:rPr>
          <w:rFonts w:hint="eastAsia"/>
        </w:rPr>
        <w:t>。建设</w:t>
      </w:r>
      <w:proofErr w:type="gramStart"/>
      <w:r>
        <w:rPr>
          <w:rFonts w:hint="eastAsia"/>
        </w:rPr>
        <w:t>完善江</w:t>
      </w:r>
      <w:proofErr w:type="gramEnd"/>
      <w:r>
        <w:rPr>
          <w:rFonts w:hint="eastAsia"/>
        </w:rPr>
        <w:t>门市三级督查系统，提供督查和绩效信息采集、分析、管理、监督、运用的服务功能，建立集中部署、三级联动的督查模式，并结合办公协作一体化平台、政务即时沟通平台和移动办公平台建设，实现督查工作随时审核、随时签收、随时反馈。</w:t>
      </w:r>
    </w:p>
    <w:tbl>
      <w:tblPr>
        <w:tblStyle w:val="ab"/>
        <w:tblW w:w="8296" w:type="dxa"/>
        <w:tblLayout w:type="fixed"/>
        <w:tblLook w:val="04A0" w:firstRow="1" w:lastRow="0" w:firstColumn="1" w:lastColumn="0" w:noHBand="0" w:noVBand="1"/>
      </w:tblPr>
      <w:tblGrid>
        <w:gridCol w:w="8296"/>
      </w:tblGrid>
      <w:tr w:rsidR="00E51332">
        <w:tc>
          <w:tcPr>
            <w:tcW w:w="8296" w:type="dxa"/>
          </w:tcPr>
          <w:p w:rsidR="00E51332" w:rsidRDefault="00B767C7">
            <w:pPr>
              <w:spacing w:line="384" w:lineRule="auto"/>
              <w:ind w:firstLineChars="0" w:firstLine="0"/>
              <w:jc w:val="center"/>
              <w:rPr>
                <w:rFonts w:eastAsia="黑体"/>
                <w:kern w:val="0"/>
                <w:sz w:val="28"/>
                <w:szCs w:val="20"/>
              </w:rPr>
            </w:pPr>
            <w:r>
              <w:rPr>
                <w:rFonts w:eastAsia="黑体"/>
                <w:kern w:val="0"/>
                <w:sz w:val="28"/>
                <w:szCs w:val="20"/>
              </w:rPr>
              <w:t>专栏</w:t>
            </w:r>
            <w:r>
              <w:rPr>
                <w:rFonts w:eastAsia="黑体"/>
                <w:kern w:val="0"/>
                <w:sz w:val="28"/>
                <w:szCs w:val="20"/>
              </w:rPr>
              <w:t xml:space="preserve"> 1</w:t>
            </w:r>
            <w:r>
              <w:rPr>
                <w:rFonts w:eastAsia="黑体" w:hint="eastAsia"/>
                <w:kern w:val="0"/>
                <w:sz w:val="28"/>
                <w:szCs w:val="20"/>
              </w:rPr>
              <w:t>0</w:t>
            </w:r>
            <w:r>
              <w:rPr>
                <w:rFonts w:eastAsia="黑体"/>
                <w:kern w:val="0"/>
                <w:sz w:val="28"/>
                <w:szCs w:val="20"/>
              </w:rPr>
              <w:t xml:space="preserve"> </w:t>
            </w:r>
            <w:r>
              <w:rPr>
                <w:rFonts w:eastAsia="黑体" w:hint="eastAsia"/>
                <w:kern w:val="0"/>
                <w:sz w:val="28"/>
                <w:szCs w:val="20"/>
              </w:rPr>
              <w:t>政府协同</w:t>
            </w:r>
            <w:r>
              <w:rPr>
                <w:rFonts w:eastAsia="黑体"/>
                <w:kern w:val="0"/>
                <w:sz w:val="28"/>
                <w:szCs w:val="20"/>
              </w:rPr>
              <w:t>重点</w:t>
            </w:r>
            <w:r>
              <w:rPr>
                <w:rFonts w:eastAsia="黑体" w:hint="eastAsia"/>
                <w:kern w:val="0"/>
                <w:sz w:val="28"/>
                <w:szCs w:val="20"/>
              </w:rPr>
              <w:t>项目</w:t>
            </w:r>
          </w:p>
        </w:tc>
      </w:tr>
      <w:tr w:rsidR="00E51332">
        <w:tc>
          <w:tcPr>
            <w:tcW w:w="8296" w:type="dxa"/>
          </w:tcPr>
          <w:p w:rsidR="00E51332" w:rsidRDefault="00B767C7">
            <w:pPr>
              <w:snapToGrid w:val="0"/>
              <w:spacing w:line="480" w:lineRule="exact"/>
              <w:ind w:firstLine="560"/>
              <w:rPr>
                <w:rFonts w:ascii="仿宋_GB2312"/>
                <w:kern w:val="0"/>
                <w:sz w:val="28"/>
                <w:szCs w:val="24"/>
              </w:rPr>
            </w:pPr>
            <w:r>
              <w:rPr>
                <w:rFonts w:eastAsia="楷体_GB2312" w:hint="eastAsia"/>
                <w:kern w:val="0"/>
                <w:sz w:val="28"/>
                <w:szCs w:val="24"/>
              </w:rPr>
              <w:t>移动办事应用平台</w:t>
            </w:r>
            <w:r>
              <w:rPr>
                <w:rFonts w:ascii="仿宋_GB2312" w:hint="eastAsia"/>
                <w:kern w:val="0"/>
                <w:sz w:val="28"/>
                <w:szCs w:val="24"/>
              </w:rPr>
              <w:t>。加强“粤政易”推广应用，实现全市覆盖，形成有线无线相结合的移动办公模式。推广应用基于</w:t>
            </w:r>
            <w:proofErr w:type="gramStart"/>
            <w:r>
              <w:rPr>
                <w:rFonts w:ascii="仿宋_GB2312" w:hint="eastAsia"/>
                <w:kern w:val="0"/>
                <w:sz w:val="28"/>
                <w:szCs w:val="24"/>
              </w:rPr>
              <w:t>粤政易建设</w:t>
            </w:r>
            <w:proofErr w:type="gramEnd"/>
            <w:r>
              <w:rPr>
                <w:rFonts w:ascii="仿宋_GB2312" w:hint="eastAsia"/>
                <w:kern w:val="0"/>
                <w:sz w:val="28"/>
                <w:szCs w:val="24"/>
              </w:rPr>
              <w:t>完善</w:t>
            </w:r>
            <w:proofErr w:type="gramStart"/>
            <w:r>
              <w:rPr>
                <w:rFonts w:ascii="仿宋_GB2312" w:hint="eastAsia"/>
                <w:kern w:val="0"/>
                <w:sz w:val="28"/>
                <w:szCs w:val="24"/>
              </w:rPr>
              <w:t>的粤视会</w:t>
            </w:r>
            <w:proofErr w:type="gramEnd"/>
            <w:r>
              <w:rPr>
                <w:rFonts w:ascii="仿宋_GB2312" w:hint="eastAsia"/>
                <w:kern w:val="0"/>
                <w:sz w:val="28"/>
                <w:szCs w:val="24"/>
              </w:rPr>
              <w:t>政务云视频会议功能，满足视频会议、视频会商、业务培训、指挥调度、视频接访、应急巡查、移动接入等业务应用需求。</w:t>
            </w:r>
          </w:p>
          <w:p w:rsidR="00E329A7" w:rsidRDefault="00B767C7" w:rsidP="00E329A7">
            <w:pPr>
              <w:snapToGrid w:val="0"/>
              <w:spacing w:line="480" w:lineRule="exact"/>
              <w:ind w:firstLine="560"/>
              <w:rPr>
                <w:rFonts w:ascii="仿宋_GB2312"/>
                <w:kern w:val="0"/>
                <w:sz w:val="28"/>
                <w:szCs w:val="24"/>
              </w:rPr>
            </w:pPr>
            <w:r>
              <w:rPr>
                <w:rFonts w:eastAsia="楷体_GB2312" w:hint="eastAsia"/>
                <w:kern w:val="0"/>
                <w:sz w:val="28"/>
                <w:szCs w:val="24"/>
              </w:rPr>
              <w:t>市统一协同办公平台。</w:t>
            </w:r>
            <w:r>
              <w:rPr>
                <w:rFonts w:ascii="仿宋_GB2312" w:hint="eastAsia"/>
                <w:kern w:val="0"/>
                <w:sz w:val="28"/>
                <w:szCs w:val="24"/>
              </w:rPr>
              <w:t>整合政府各级政务部门OA系统和面向政府侧的业务系统，升级优化智慧协同办公、督查督办、工作交流、在线表单、机关事务管理等应用功能，推动政府内部“零跑动”。</w:t>
            </w:r>
          </w:p>
          <w:p w:rsidR="00E51332" w:rsidRDefault="00B767C7" w:rsidP="00E329A7">
            <w:pPr>
              <w:snapToGrid w:val="0"/>
              <w:spacing w:after="240" w:line="480" w:lineRule="exact"/>
              <w:ind w:firstLine="560"/>
              <w:rPr>
                <w:rFonts w:ascii="仿宋_GB2312"/>
                <w:kern w:val="0"/>
                <w:sz w:val="28"/>
                <w:szCs w:val="24"/>
              </w:rPr>
            </w:pPr>
            <w:r>
              <w:rPr>
                <w:rFonts w:eastAsia="楷体_GB2312" w:hint="eastAsia"/>
                <w:kern w:val="0"/>
                <w:sz w:val="28"/>
                <w:szCs w:val="24"/>
              </w:rPr>
              <w:t>基层报数填“一张表”应用</w:t>
            </w:r>
            <w:r>
              <w:rPr>
                <w:rFonts w:ascii="仿宋_GB2312" w:hint="eastAsia"/>
                <w:kern w:val="0"/>
                <w:sz w:val="28"/>
                <w:szCs w:val="24"/>
              </w:rPr>
              <w:t>。梳理村（居）自治事项清单、协助政府事项清单、负面事项清单等事项清单，整合梳理上报数据“一张表”。推行在线报送数据“一张表”方式，减少基层重复填报的报表、台账。</w:t>
            </w:r>
          </w:p>
        </w:tc>
      </w:tr>
    </w:tbl>
    <w:p w:rsidR="00E51332" w:rsidRDefault="00B767C7">
      <w:pPr>
        <w:pStyle w:val="3"/>
        <w:ind w:firstLine="643"/>
      </w:pPr>
      <w:r>
        <w:rPr>
          <w:rFonts w:hint="eastAsia"/>
        </w:rPr>
        <w:lastRenderedPageBreak/>
        <w:t>加强党群多方协同透明化。</w:t>
      </w:r>
    </w:p>
    <w:p w:rsidR="00E51332" w:rsidRDefault="00B767C7">
      <w:pPr>
        <w:ind w:firstLine="643"/>
      </w:pPr>
      <w:r>
        <w:rPr>
          <w:rFonts w:hint="eastAsia"/>
          <w:b/>
          <w:bCs/>
        </w:rPr>
        <w:t>（</w:t>
      </w:r>
      <w:r>
        <w:rPr>
          <w:rFonts w:hint="eastAsia"/>
          <w:b/>
          <w:bCs/>
        </w:rPr>
        <w:t>1</w:t>
      </w:r>
      <w:r>
        <w:rPr>
          <w:rFonts w:hint="eastAsia"/>
          <w:b/>
          <w:bCs/>
        </w:rPr>
        <w:t>）提升党建数字化能力</w:t>
      </w:r>
      <w:r>
        <w:rPr>
          <w:rFonts w:hint="eastAsia"/>
        </w:rPr>
        <w:t>。以党务工作、党建管理、组织生活、教育学习、党群服务等业务应用为核心，构建党建工作全覆盖的一体化</w:t>
      </w:r>
      <w:proofErr w:type="gramStart"/>
      <w:r>
        <w:rPr>
          <w:rFonts w:hint="eastAsia"/>
        </w:rPr>
        <w:t>智慧党建</w:t>
      </w:r>
      <w:proofErr w:type="gramEnd"/>
      <w:r>
        <w:rPr>
          <w:rFonts w:hint="eastAsia"/>
        </w:rPr>
        <w:t>平台，丰富党务工作方式，丰富党员教育学习内容，活跃党的组织生活，加强党员的管理与服务，提升党建工作的管理水平，提高党务工作效率，推进党建工作的规范化、标准化，全面提升江</w:t>
      </w:r>
      <w:proofErr w:type="gramStart"/>
      <w:r>
        <w:rPr>
          <w:rFonts w:hint="eastAsia"/>
        </w:rPr>
        <w:t>门市党建</w:t>
      </w:r>
      <w:proofErr w:type="gramEnd"/>
      <w:r>
        <w:rPr>
          <w:rFonts w:hint="eastAsia"/>
        </w:rPr>
        <w:t>工作的效率和科学化水平。</w:t>
      </w:r>
    </w:p>
    <w:p w:rsidR="00E51332" w:rsidRDefault="00B767C7">
      <w:pPr>
        <w:ind w:firstLine="643"/>
      </w:pPr>
      <w:r>
        <w:rPr>
          <w:rFonts w:hint="eastAsia"/>
          <w:b/>
          <w:bCs/>
        </w:rPr>
        <w:t>（</w:t>
      </w:r>
      <w:r>
        <w:rPr>
          <w:rFonts w:hint="eastAsia"/>
          <w:b/>
          <w:bCs/>
        </w:rPr>
        <w:t>2</w:t>
      </w:r>
      <w:r>
        <w:rPr>
          <w:rFonts w:hint="eastAsia"/>
          <w:b/>
          <w:bCs/>
        </w:rPr>
        <w:t>）提升行政执法数字化能力</w:t>
      </w:r>
      <w:r>
        <w:rPr>
          <w:rFonts w:hint="eastAsia"/>
        </w:rPr>
        <w:t>。汇聚融合立法、执法、司法、守法普法、民主监督等系统数据，建设“互联网</w:t>
      </w:r>
      <w:r>
        <w:rPr>
          <w:rFonts w:hint="eastAsia"/>
        </w:rPr>
        <w:t>+</w:t>
      </w:r>
      <w:r>
        <w:rPr>
          <w:rFonts w:hint="eastAsia"/>
        </w:rPr>
        <w:t>法治”信息平台，提升立法科学化、执法规范化、司法协同化、法援精准化、监督多元化水平。建立全市统一、权威的法律、法规、规章、规范性文件数据库，完善智慧立法系统，智能辅助重点领域立法。建立行政执法监督信息系统，助力执法规范化建设，增强行政执法透明度，有效提升行政执法公信力。</w:t>
      </w:r>
    </w:p>
    <w:p w:rsidR="00E51332" w:rsidRDefault="00B767C7">
      <w:pPr>
        <w:ind w:firstLine="643"/>
      </w:pPr>
      <w:r>
        <w:rPr>
          <w:rFonts w:hint="eastAsia"/>
          <w:b/>
          <w:bCs/>
        </w:rPr>
        <w:t>（</w:t>
      </w:r>
      <w:r>
        <w:rPr>
          <w:rFonts w:hint="eastAsia"/>
          <w:b/>
          <w:bCs/>
        </w:rPr>
        <w:t>3</w:t>
      </w:r>
      <w:r>
        <w:rPr>
          <w:rFonts w:hint="eastAsia"/>
          <w:b/>
          <w:bCs/>
        </w:rPr>
        <w:t>）提升司法援助数字化能力</w:t>
      </w:r>
      <w:r>
        <w:rPr>
          <w:rFonts w:hint="eastAsia"/>
        </w:rPr>
        <w:t>。构建以案件为主线的公安机关、检察机关、审判机关、司法行政机关协同办案平台，依法实现司法案件全程透明，全面提高司法公信和司法公正水平。全面开展“互联网</w:t>
      </w:r>
      <w:r>
        <w:rPr>
          <w:rFonts w:hint="eastAsia"/>
        </w:rPr>
        <w:t>+</w:t>
      </w:r>
      <w:r>
        <w:rPr>
          <w:rFonts w:hint="eastAsia"/>
        </w:rPr>
        <w:t>法律服务”，推广智慧公证、智慧司鉴、智慧法援、智慧调解</w:t>
      </w:r>
      <w:proofErr w:type="gramStart"/>
      <w:r>
        <w:rPr>
          <w:rFonts w:hint="eastAsia"/>
        </w:rPr>
        <w:t>等诉调对接</w:t>
      </w:r>
      <w:proofErr w:type="gramEnd"/>
      <w:r>
        <w:rPr>
          <w:rFonts w:hint="eastAsia"/>
        </w:rPr>
        <w:t>新应用模式，形成覆盖城乡、普惠均等、便捷优质、智能精准的现代公共法律服务体系。</w:t>
      </w:r>
    </w:p>
    <w:p w:rsidR="00E51332" w:rsidRDefault="00B767C7">
      <w:pPr>
        <w:ind w:firstLine="643"/>
      </w:pPr>
      <w:r>
        <w:rPr>
          <w:rFonts w:hint="eastAsia"/>
          <w:b/>
          <w:bCs/>
        </w:rPr>
        <w:lastRenderedPageBreak/>
        <w:t>（</w:t>
      </w:r>
      <w:r>
        <w:rPr>
          <w:rFonts w:hint="eastAsia"/>
          <w:b/>
          <w:bCs/>
        </w:rPr>
        <w:t>4</w:t>
      </w:r>
      <w:r>
        <w:rPr>
          <w:rFonts w:hint="eastAsia"/>
          <w:b/>
          <w:bCs/>
        </w:rPr>
        <w:t>）提升信访处置数字化能力</w:t>
      </w:r>
      <w:r>
        <w:rPr>
          <w:rFonts w:hint="eastAsia"/>
        </w:rPr>
        <w:t>。提升信访处置能力，基于全省一体化信访平台，加强信访大数据应用水平，实现信访举报渠道、信访举报网络、重要案件网络远程会商、信访举报管理、信访态势预判等数字化。</w:t>
      </w:r>
    </w:p>
    <w:p w:rsidR="00E51332" w:rsidRDefault="00B767C7">
      <w:pPr>
        <w:pStyle w:val="3"/>
        <w:ind w:firstLine="643"/>
      </w:pPr>
      <w:r>
        <w:rPr>
          <w:rFonts w:hint="eastAsia"/>
        </w:rPr>
        <w:t>提升政府科学决策精准化。</w:t>
      </w:r>
    </w:p>
    <w:p w:rsidR="00E51332" w:rsidRDefault="00B767C7">
      <w:pPr>
        <w:ind w:firstLine="643"/>
      </w:pPr>
      <w:bookmarkStart w:id="85" w:name="_Toc61464611"/>
      <w:r>
        <w:rPr>
          <w:rFonts w:hint="eastAsia"/>
          <w:b/>
          <w:bCs/>
        </w:rPr>
        <w:t>（</w:t>
      </w:r>
      <w:r>
        <w:rPr>
          <w:rFonts w:hint="eastAsia"/>
          <w:b/>
          <w:bCs/>
        </w:rPr>
        <w:t>1</w:t>
      </w:r>
      <w:r>
        <w:rPr>
          <w:rFonts w:hint="eastAsia"/>
          <w:b/>
          <w:bCs/>
        </w:rPr>
        <w:t>）加强产业经济运行监测体系建设。</w:t>
      </w:r>
      <w:r>
        <w:rPr>
          <w:rFonts w:hint="eastAsia"/>
        </w:rPr>
        <w:t>建设</w:t>
      </w:r>
      <w:proofErr w:type="gramStart"/>
      <w:r>
        <w:rPr>
          <w:rFonts w:hint="eastAsia"/>
        </w:rPr>
        <w:t>大统计</w:t>
      </w:r>
      <w:proofErr w:type="gramEnd"/>
      <w:r>
        <w:rPr>
          <w:rFonts w:hint="eastAsia"/>
        </w:rPr>
        <w:t>经济分析应用，将投资和经济相关数据，以及统计、市场监管、税务等部门的数据进行收集和整合，建立经济运行监测指标体系和各类主题资源库，搭建经济指标预测及预警机制，形成多维度“经济发展云图”，为区域产业分析、产业政策制定、产业</w:t>
      </w:r>
      <w:proofErr w:type="gramStart"/>
      <w:r>
        <w:rPr>
          <w:rFonts w:hint="eastAsia"/>
        </w:rPr>
        <w:t>链企业</w:t>
      </w:r>
      <w:proofErr w:type="gramEnd"/>
      <w:r>
        <w:rPr>
          <w:rFonts w:hint="eastAsia"/>
        </w:rPr>
        <w:t>运行态势、产业发展预测、重大风险防范、产业扶持资金使用等提供数据支撑和决策支持。建设投资项目管理平台，实施投资项目全过程管理，全面掌握项目评审、投资决策、立项、开工建设、竣工验收以及投产运营动态，对重大项目推进情况实施监察预警、风险评估和督查督办。</w:t>
      </w:r>
    </w:p>
    <w:p w:rsidR="00E51332" w:rsidRDefault="00B767C7">
      <w:pPr>
        <w:ind w:firstLine="643"/>
      </w:pPr>
      <w:r>
        <w:rPr>
          <w:rFonts w:hint="eastAsia"/>
          <w:b/>
          <w:bCs/>
        </w:rPr>
        <w:t>（</w:t>
      </w:r>
      <w:r>
        <w:rPr>
          <w:rFonts w:hint="eastAsia"/>
          <w:b/>
          <w:bCs/>
        </w:rPr>
        <w:t>2</w:t>
      </w:r>
      <w:r>
        <w:rPr>
          <w:rFonts w:hint="eastAsia"/>
          <w:b/>
          <w:bCs/>
        </w:rPr>
        <w:t>）加强宏观决策分析支撑应用。</w:t>
      </w:r>
      <w:r>
        <w:rPr>
          <w:rFonts w:hint="eastAsia"/>
        </w:rPr>
        <w:t>建设决策辅助支持平台，搭建数据来源广泛、逻辑关联、时效性强的个性化、科学化、精准化决策“驾驶舱”，构建多维融合的政府运行仿真，为政府决策提供数据支持及科学依据。在政府规划、政策法规制定等工作中充分整合利用政府和社会数据资源，建立以大数据为支撑的政府决策新机制，积极配合建设和运用市空间规划管理系统、数字财政系统、大数据应用统计支撑平台、科技大数据平台等政府决策支持服务平台，不断提</w:t>
      </w:r>
      <w:r>
        <w:rPr>
          <w:rFonts w:hint="eastAsia"/>
        </w:rPr>
        <w:lastRenderedPageBreak/>
        <w:t>高决策科学性、预见性和有效性。</w:t>
      </w:r>
    </w:p>
    <w:tbl>
      <w:tblPr>
        <w:tblStyle w:val="ab"/>
        <w:tblW w:w="8296" w:type="dxa"/>
        <w:tblLayout w:type="fixed"/>
        <w:tblLook w:val="04A0" w:firstRow="1" w:lastRow="0" w:firstColumn="1" w:lastColumn="0" w:noHBand="0" w:noVBand="1"/>
      </w:tblPr>
      <w:tblGrid>
        <w:gridCol w:w="8296"/>
      </w:tblGrid>
      <w:tr w:rsidR="00E51332">
        <w:tc>
          <w:tcPr>
            <w:tcW w:w="8296" w:type="dxa"/>
          </w:tcPr>
          <w:p w:rsidR="00E51332" w:rsidRDefault="00B767C7">
            <w:pPr>
              <w:spacing w:line="384" w:lineRule="auto"/>
              <w:ind w:firstLineChars="0" w:firstLine="0"/>
              <w:jc w:val="center"/>
              <w:rPr>
                <w:rFonts w:eastAsia="黑体"/>
                <w:kern w:val="0"/>
                <w:sz w:val="28"/>
                <w:szCs w:val="20"/>
              </w:rPr>
            </w:pPr>
            <w:r>
              <w:rPr>
                <w:rFonts w:eastAsia="黑体"/>
                <w:kern w:val="0"/>
                <w:sz w:val="28"/>
                <w:szCs w:val="20"/>
              </w:rPr>
              <w:t>专栏</w:t>
            </w:r>
            <w:r>
              <w:rPr>
                <w:rFonts w:eastAsia="黑体"/>
                <w:kern w:val="0"/>
                <w:sz w:val="28"/>
                <w:szCs w:val="20"/>
              </w:rPr>
              <w:t xml:space="preserve"> 1</w:t>
            </w:r>
            <w:r>
              <w:rPr>
                <w:rFonts w:eastAsia="黑体" w:hint="eastAsia"/>
                <w:kern w:val="0"/>
                <w:sz w:val="28"/>
                <w:szCs w:val="20"/>
              </w:rPr>
              <w:t>1</w:t>
            </w:r>
            <w:r>
              <w:rPr>
                <w:rFonts w:eastAsia="黑体"/>
                <w:kern w:val="0"/>
                <w:sz w:val="28"/>
                <w:szCs w:val="20"/>
              </w:rPr>
              <w:t xml:space="preserve"> </w:t>
            </w:r>
            <w:r>
              <w:rPr>
                <w:rFonts w:eastAsia="黑体" w:hint="eastAsia"/>
                <w:kern w:val="0"/>
                <w:sz w:val="28"/>
                <w:szCs w:val="20"/>
              </w:rPr>
              <w:t>政府决策</w:t>
            </w:r>
            <w:r>
              <w:rPr>
                <w:rFonts w:eastAsia="黑体"/>
                <w:kern w:val="0"/>
                <w:sz w:val="28"/>
                <w:szCs w:val="20"/>
              </w:rPr>
              <w:t>重点</w:t>
            </w:r>
            <w:r>
              <w:rPr>
                <w:rFonts w:eastAsia="黑体" w:hint="eastAsia"/>
                <w:kern w:val="0"/>
                <w:sz w:val="28"/>
                <w:szCs w:val="20"/>
              </w:rPr>
              <w:t>项目</w:t>
            </w:r>
          </w:p>
        </w:tc>
      </w:tr>
      <w:tr w:rsidR="00E51332">
        <w:tc>
          <w:tcPr>
            <w:tcW w:w="8296" w:type="dxa"/>
          </w:tcPr>
          <w:p w:rsidR="00E51332" w:rsidRDefault="00B767C7">
            <w:pPr>
              <w:snapToGrid w:val="0"/>
              <w:spacing w:line="384" w:lineRule="auto"/>
              <w:ind w:firstLine="560"/>
              <w:rPr>
                <w:rFonts w:ascii="仿宋_GB2312"/>
                <w:kern w:val="0"/>
                <w:sz w:val="28"/>
                <w:szCs w:val="24"/>
              </w:rPr>
            </w:pPr>
            <w:r>
              <w:rPr>
                <w:rFonts w:ascii="楷体_GB2312" w:eastAsia="楷体_GB2312" w:hint="eastAsia"/>
                <w:kern w:val="0"/>
                <w:sz w:val="28"/>
                <w:szCs w:val="24"/>
              </w:rPr>
              <w:t>经济运行和招商管理平台</w:t>
            </w:r>
            <w:r>
              <w:rPr>
                <w:rFonts w:ascii="仿宋_GB2312" w:hint="eastAsia"/>
                <w:kern w:val="0"/>
                <w:sz w:val="28"/>
                <w:szCs w:val="24"/>
              </w:rPr>
              <w:t>。建设经济运行分析系统，解决统计、市场监管、税务、金融等部门的数据多维</w:t>
            </w:r>
            <w:proofErr w:type="gramStart"/>
            <w:r>
              <w:rPr>
                <w:rFonts w:ascii="仿宋_GB2312" w:hint="eastAsia"/>
                <w:kern w:val="0"/>
                <w:sz w:val="28"/>
                <w:szCs w:val="24"/>
              </w:rPr>
              <w:t>度统一</w:t>
            </w:r>
            <w:proofErr w:type="gramEnd"/>
            <w:r>
              <w:rPr>
                <w:rFonts w:ascii="仿宋_GB2312" w:hint="eastAsia"/>
                <w:kern w:val="0"/>
                <w:sz w:val="28"/>
                <w:szCs w:val="24"/>
              </w:rPr>
              <w:t>和预测预警的问题，利用数据进行建模并以大屏的形式进行展示，实现经济数据统计可视化和助力决策分析的目标。完善大项目招商和精细化管理功能，实现重大项目招商引资和全过程管理跟踪服务，解决项目招商、企业筹建、投产运营痛点堵点。</w:t>
            </w:r>
          </w:p>
        </w:tc>
      </w:tr>
    </w:tbl>
    <w:p w:rsidR="00E51332" w:rsidRDefault="00B767C7">
      <w:pPr>
        <w:pStyle w:val="2"/>
        <w:spacing w:before="156" w:after="156"/>
        <w:ind w:firstLine="643"/>
      </w:pPr>
      <w:bookmarkStart w:id="86" w:name="_Toc64903397"/>
      <w:bookmarkStart w:id="87" w:name="_Toc66093959"/>
      <w:bookmarkEnd w:id="85"/>
      <w:r>
        <w:rPr>
          <w:rFonts w:hint="eastAsia"/>
        </w:rPr>
        <w:t>数字赋能，充分开发利用数据资源。</w:t>
      </w:r>
      <w:bookmarkEnd w:id="86"/>
      <w:bookmarkEnd w:id="87"/>
    </w:p>
    <w:p w:rsidR="00E51332" w:rsidRDefault="00B767C7">
      <w:pPr>
        <w:pStyle w:val="3"/>
        <w:ind w:firstLine="643"/>
      </w:pPr>
      <w:r>
        <w:rPr>
          <w:rFonts w:hint="eastAsia"/>
        </w:rPr>
        <w:t>完善数据资源治理体系。</w:t>
      </w:r>
    </w:p>
    <w:p w:rsidR="00E51332" w:rsidRDefault="00B767C7">
      <w:pPr>
        <w:ind w:firstLine="643"/>
      </w:pPr>
      <w:r>
        <w:rPr>
          <w:rFonts w:hint="eastAsia"/>
          <w:b/>
          <w:bCs/>
        </w:rPr>
        <w:t>（</w:t>
      </w:r>
      <w:r>
        <w:rPr>
          <w:rFonts w:hint="eastAsia"/>
          <w:b/>
          <w:bCs/>
        </w:rPr>
        <w:t>1</w:t>
      </w:r>
      <w:r>
        <w:rPr>
          <w:rFonts w:hint="eastAsia"/>
          <w:b/>
          <w:bCs/>
        </w:rPr>
        <w:t>）创新公共数据管理体系。</w:t>
      </w:r>
      <w:r>
        <w:rPr>
          <w:rFonts w:hint="eastAsia"/>
        </w:rPr>
        <w:t>建立健全市公共数据管理专项协调机制，统筹指导全市公共数据管理工作。建立政府及部门首席数据官（</w:t>
      </w:r>
      <w:r>
        <w:rPr>
          <w:rFonts w:hint="eastAsia"/>
        </w:rPr>
        <w:t>CDO</w:t>
      </w:r>
      <w:r>
        <w:rPr>
          <w:rFonts w:hint="eastAsia"/>
        </w:rPr>
        <w:t>）制度。推进公共数据资源资产确权登记，建立公共企事业单位公共数据资源汇聚机制，针对企业持有的公共数据，探索构建企业公共数据汇聚分节点，实现企业数据的高效汇聚，在此基础上推进企业公共数据的全流程治理。</w:t>
      </w:r>
    </w:p>
    <w:p w:rsidR="00E51332" w:rsidRDefault="00B767C7">
      <w:pPr>
        <w:ind w:firstLine="643"/>
      </w:pPr>
      <w:r>
        <w:rPr>
          <w:rFonts w:hint="eastAsia"/>
          <w:b/>
          <w:bCs/>
        </w:rPr>
        <w:t>（</w:t>
      </w:r>
      <w:r>
        <w:rPr>
          <w:rFonts w:hint="eastAsia"/>
          <w:b/>
          <w:bCs/>
        </w:rPr>
        <w:t>2</w:t>
      </w:r>
      <w:r>
        <w:rPr>
          <w:rFonts w:hint="eastAsia"/>
          <w:b/>
          <w:bCs/>
        </w:rPr>
        <w:t>）设立大数据融合创新中心</w:t>
      </w:r>
      <w:r>
        <w:rPr>
          <w:rFonts w:hint="eastAsia"/>
        </w:rPr>
        <w:t>。探索建立大数据融合创新中心，建立健全公共数据运营模式，充分利用社会力量，释放公共数据资源经济价值。面向全市各级行政机关和公共企事业单位开展信息化能力和公共数据资源普查，摸清公共数据资源家底。制定全市公共数据资源目录编制指南和元数</w:t>
      </w:r>
      <w:r>
        <w:rPr>
          <w:rFonts w:hint="eastAsia"/>
        </w:rPr>
        <w:lastRenderedPageBreak/>
        <w:t>据标准，形成统一的系统清单、数据清单、需求清单，建成统一高效、互联互通、质量可靠的数据资源体系。</w:t>
      </w:r>
    </w:p>
    <w:p w:rsidR="00E51332" w:rsidRDefault="00B767C7">
      <w:pPr>
        <w:ind w:firstLine="643"/>
      </w:pPr>
      <w:r>
        <w:rPr>
          <w:rFonts w:hint="eastAsia"/>
          <w:b/>
          <w:bCs/>
        </w:rPr>
        <w:t>（</w:t>
      </w:r>
      <w:r>
        <w:rPr>
          <w:rFonts w:hint="eastAsia"/>
          <w:b/>
          <w:bCs/>
        </w:rPr>
        <w:t>3</w:t>
      </w:r>
      <w:r>
        <w:rPr>
          <w:rFonts w:hint="eastAsia"/>
          <w:b/>
          <w:bCs/>
        </w:rPr>
        <w:t>）建立数据运营制度体系。</w:t>
      </w:r>
      <w:r>
        <w:rPr>
          <w:rFonts w:hint="eastAsia"/>
        </w:rPr>
        <w:t>建立数据运营规则，强化授权场景、授权范围和运营安全的监督管理。通过对数据运营方监控并评估数据资源的利用情况，促进数据资源有序、按需流通。融入粤港澳大湾</w:t>
      </w:r>
      <w:proofErr w:type="gramStart"/>
      <w:r>
        <w:rPr>
          <w:rFonts w:hint="eastAsia"/>
        </w:rPr>
        <w:t>区数据</w:t>
      </w:r>
      <w:proofErr w:type="gramEnd"/>
      <w:r>
        <w:rPr>
          <w:rFonts w:hint="eastAsia"/>
        </w:rPr>
        <w:t>交易中心地市公共数据运营试点，逐步构建我市公共数据资产化管理模式，明确数据资产归属权、使用权和共建共享规则。强化数据采购管理，规范政府和公共机构采购社会数据行为。</w:t>
      </w:r>
    </w:p>
    <w:p w:rsidR="00E51332" w:rsidRDefault="00B767C7">
      <w:pPr>
        <w:pStyle w:val="3"/>
        <w:ind w:firstLine="643"/>
      </w:pPr>
      <w:r>
        <w:rPr>
          <w:rFonts w:hint="eastAsia"/>
        </w:rPr>
        <w:t>创新数据资源服务方式。</w:t>
      </w:r>
    </w:p>
    <w:p w:rsidR="00E51332" w:rsidRDefault="00B767C7">
      <w:pPr>
        <w:ind w:firstLine="643"/>
      </w:pPr>
      <w:r>
        <w:rPr>
          <w:rFonts w:hint="eastAsia"/>
          <w:b/>
          <w:bCs/>
        </w:rPr>
        <w:t>（</w:t>
      </w:r>
      <w:r>
        <w:rPr>
          <w:rFonts w:hint="eastAsia"/>
          <w:b/>
          <w:bCs/>
        </w:rPr>
        <w:t>1</w:t>
      </w:r>
      <w:r>
        <w:rPr>
          <w:rFonts w:hint="eastAsia"/>
          <w:b/>
          <w:bCs/>
        </w:rPr>
        <w:t>）完善政务大数据中心江门节点。</w:t>
      </w:r>
      <w:r>
        <w:rPr>
          <w:rFonts w:hint="eastAsia"/>
        </w:rPr>
        <w:t>按照省统一相关标准规范，构建江门政务大数据中心分节点，并与省级平台对接，实现省市两级政务大数据中心的网络通、平台通、数据通和服务通。基于全省的政务大数据中心平台，根据江门特色数据需求，建设完善城市大数据平台，实现数据高效挖掘、数据灵活建模、数据快速采集。建设完善数据服务发布和管理平台，实现政务数据资源利用开发的应用查询、下载和订阅，支撑各类政务应用平台开发和运行，推动业务流程持续优化、数据无缝流动、线上线下融合。</w:t>
      </w:r>
    </w:p>
    <w:p w:rsidR="00E51332" w:rsidRDefault="00B767C7">
      <w:pPr>
        <w:ind w:firstLine="643"/>
        <w:rPr>
          <w:b/>
          <w:bCs/>
        </w:rPr>
      </w:pPr>
      <w:r>
        <w:rPr>
          <w:rFonts w:hint="eastAsia"/>
          <w:b/>
          <w:bCs/>
        </w:rPr>
        <w:t>（</w:t>
      </w:r>
      <w:r>
        <w:rPr>
          <w:rFonts w:hint="eastAsia"/>
          <w:b/>
          <w:bCs/>
        </w:rPr>
        <w:t>2</w:t>
      </w:r>
      <w:r>
        <w:rPr>
          <w:rFonts w:hint="eastAsia"/>
          <w:b/>
          <w:bCs/>
        </w:rPr>
        <w:t>）打造政府数据供应链体系。</w:t>
      </w:r>
      <w:r>
        <w:rPr>
          <w:rFonts w:hint="eastAsia"/>
        </w:rPr>
        <w:t>强化数据管理，以需求为导向，针对具体业务痛点，根据业务规则和业务关系，横向拓展、纵向延伸政府数据整合共享范围，一方面从部门大数据整合共享向业务大数据整合共享转变，另一方面有针</w:t>
      </w:r>
      <w:r>
        <w:rPr>
          <w:rFonts w:hint="eastAsia"/>
        </w:rPr>
        <w:lastRenderedPageBreak/>
        <w:t>对性构建基层业务场景化模型，将数据资源进行打包和封装，形成精细化的大数据场景化赋能应用，提高数据资源使用效率和价值变现。在充分共享基础上，逐步扩大政务信息资源共享交换覆盖范围，在确保数据安全的前提下协调推进公共服务机构、相关企业及第三方平台数据等社会数据共享。分级分类推进共享数据应用，开展数据应用效能综合分析评价，促进共享数据应用能力不断提升。</w:t>
      </w:r>
    </w:p>
    <w:p w:rsidR="00E51332" w:rsidRDefault="00B767C7">
      <w:pPr>
        <w:ind w:firstLine="643"/>
      </w:pPr>
      <w:r>
        <w:rPr>
          <w:rFonts w:hint="eastAsia"/>
          <w:b/>
          <w:bCs/>
        </w:rPr>
        <w:t>（</w:t>
      </w:r>
      <w:r>
        <w:rPr>
          <w:rFonts w:hint="eastAsia"/>
          <w:b/>
          <w:bCs/>
        </w:rPr>
        <w:t>3</w:t>
      </w:r>
      <w:r>
        <w:rPr>
          <w:rFonts w:hint="eastAsia"/>
          <w:b/>
          <w:bCs/>
        </w:rPr>
        <w:t>）推进政府数据反哺应用</w:t>
      </w:r>
      <w:r>
        <w:rPr>
          <w:rFonts w:hint="eastAsia"/>
        </w:rPr>
        <w:t>。巩固我市政务信息系统整合共享成果，逐步扩大政务信息资源共享交换覆盖范围，聚焦大数据应用共性需求，构建集成自然语言处理、视频图像解析、数据可视化、语音智能问答、多语言机器翻译、数据挖掘分析等功能的通用算法模型和控件库，提供规范统一的大数据服务支持。将“秒批”融入用数审批服务，实现政府数据资产全面、可用、易用、好用。强化与国家、省垂直系统的级联，完善数据共享交换支撑能力，争取垂直数据反哺本级应用，提升政务信息资源共享服务能力和运行效能。</w:t>
      </w:r>
    </w:p>
    <w:tbl>
      <w:tblPr>
        <w:tblStyle w:val="ab"/>
        <w:tblW w:w="8296" w:type="dxa"/>
        <w:tblLayout w:type="fixed"/>
        <w:tblLook w:val="04A0" w:firstRow="1" w:lastRow="0" w:firstColumn="1" w:lastColumn="0" w:noHBand="0" w:noVBand="1"/>
      </w:tblPr>
      <w:tblGrid>
        <w:gridCol w:w="8296"/>
      </w:tblGrid>
      <w:tr w:rsidR="00E51332">
        <w:tc>
          <w:tcPr>
            <w:tcW w:w="8296" w:type="dxa"/>
          </w:tcPr>
          <w:p w:rsidR="00E51332" w:rsidRDefault="00B767C7">
            <w:pPr>
              <w:spacing w:line="384" w:lineRule="auto"/>
              <w:ind w:firstLineChars="0" w:firstLine="0"/>
              <w:jc w:val="center"/>
              <w:rPr>
                <w:rFonts w:eastAsia="黑体"/>
                <w:kern w:val="0"/>
                <w:sz w:val="28"/>
                <w:szCs w:val="20"/>
              </w:rPr>
            </w:pPr>
            <w:r>
              <w:rPr>
                <w:rFonts w:eastAsia="黑体"/>
                <w:kern w:val="0"/>
                <w:sz w:val="28"/>
                <w:szCs w:val="20"/>
              </w:rPr>
              <w:t>专栏</w:t>
            </w:r>
            <w:r>
              <w:rPr>
                <w:rFonts w:eastAsia="黑体"/>
                <w:kern w:val="0"/>
                <w:sz w:val="28"/>
                <w:szCs w:val="20"/>
              </w:rPr>
              <w:t xml:space="preserve"> 1</w:t>
            </w:r>
            <w:r>
              <w:rPr>
                <w:rFonts w:eastAsia="黑体" w:hint="eastAsia"/>
                <w:kern w:val="0"/>
                <w:sz w:val="28"/>
                <w:szCs w:val="20"/>
              </w:rPr>
              <w:t xml:space="preserve">2 </w:t>
            </w:r>
            <w:r>
              <w:rPr>
                <w:rFonts w:eastAsia="黑体" w:hint="eastAsia"/>
                <w:kern w:val="0"/>
                <w:sz w:val="28"/>
                <w:szCs w:val="20"/>
              </w:rPr>
              <w:t>数据资源服务</w:t>
            </w:r>
            <w:r>
              <w:rPr>
                <w:rFonts w:eastAsia="黑体"/>
                <w:kern w:val="0"/>
                <w:sz w:val="28"/>
                <w:szCs w:val="20"/>
              </w:rPr>
              <w:t>重点</w:t>
            </w:r>
            <w:r>
              <w:rPr>
                <w:rFonts w:eastAsia="黑体" w:hint="eastAsia"/>
                <w:kern w:val="0"/>
                <w:sz w:val="28"/>
                <w:szCs w:val="20"/>
              </w:rPr>
              <w:t>项目</w:t>
            </w:r>
          </w:p>
        </w:tc>
      </w:tr>
      <w:tr w:rsidR="00E51332">
        <w:tc>
          <w:tcPr>
            <w:tcW w:w="8296" w:type="dxa"/>
          </w:tcPr>
          <w:p w:rsidR="00E51332" w:rsidRDefault="00B767C7" w:rsidP="001C1A6E">
            <w:pPr>
              <w:snapToGrid w:val="0"/>
              <w:spacing w:line="480" w:lineRule="exact"/>
              <w:ind w:firstLine="560"/>
              <w:rPr>
                <w:kern w:val="0"/>
                <w:sz w:val="28"/>
                <w:szCs w:val="20"/>
              </w:rPr>
            </w:pPr>
            <w:r>
              <w:rPr>
                <w:rFonts w:eastAsia="楷体_GB2312"/>
                <w:kern w:val="0"/>
                <w:sz w:val="28"/>
                <w:szCs w:val="20"/>
              </w:rPr>
              <w:t>政务大数据中心</w:t>
            </w:r>
            <w:r>
              <w:rPr>
                <w:rFonts w:eastAsia="楷体_GB2312" w:hint="eastAsia"/>
                <w:kern w:val="0"/>
                <w:sz w:val="28"/>
                <w:szCs w:val="20"/>
              </w:rPr>
              <w:t>江门</w:t>
            </w:r>
            <w:r>
              <w:rPr>
                <w:rFonts w:eastAsia="楷体_GB2312"/>
                <w:kern w:val="0"/>
                <w:sz w:val="28"/>
                <w:szCs w:val="20"/>
              </w:rPr>
              <w:t>节点。</w:t>
            </w:r>
            <w:r>
              <w:rPr>
                <w:kern w:val="0"/>
                <w:sz w:val="28"/>
                <w:szCs w:val="20"/>
              </w:rPr>
              <w:t>按照省统一标准规范要求，结合江门实际，部署和应用数据服务、数据管理、数据治理等通用应用平台和工具，</w:t>
            </w:r>
            <w:proofErr w:type="gramStart"/>
            <w:r>
              <w:rPr>
                <w:kern w:val="0"/>
                <w:sz w:val="28"/>
                <w:szCs w:val="20"/>
              </w:rPr>
              <w:t>加快省</w:t>
            </w:r>
            <w:proofErr w:type="gramEnd"/>
            <w:r>
              <w:rPr>
                <w:kern w:val="0"/>
                <w:sz w:val="28"/>
                <w:szCs w:val="20"/>
              </w:rPr>
              <w:t>统一的政务数据资源目录管理系统、需求管理系统应用，实现省市数据一体互连。</w:t>
            </w:r>
          </w:p>
        </w:tc>
      </w:tr>
    </w:tbl>
    <w:p w:rsidR="00E51332" w:rsidRDefault="00B767C7">
      <w:pPr>
        <w:pStyle w:val="3"/>
        <w:ind w:firstLine="643"/>
      </w:pPr>
      <w:r>
        <w:rPr>
          <w:rFonts w:hint="eastAsia"/>
        </w:rPr>
        <w:t>推动数据资源开发利用。</w:t>
      </w:r>
    </w:p>
    <w:p w:rsidR="00E51332" w:rsidRDefault="00B767C7">
      <w:pPr>
        <w:ind w:firstLine="643"/>
        <w:rPr>
          <w:b/>
          <w:bCs/>
        </w:rPr>
      </w:pPr>
      <w:r>
        <w:rPr>
          <w:rFonts w:hint="eastAsia"/>
          <w:b/>
          <w:bCs/>
        </w:rPr>
        <w:t>（</w:t>
      </w:r>
      <w:r>
        <w:rPr>
          <w:rFonts w:hint="eastAsia"/>
          <w:b/>
          <w:bCs/>
        </w:rPr>
        <w:t>1</w:t>
      </w:r>
      <w:r>
        <w:rPr>
          <w:rFonts w:hint="eastAsia"/>
          <w:b/>
          <w:bCs/>
        </w:rPr>
        <w:t>）促进公共数据开放和规范管理</w:t>
      </w:r>
      <w:r>
        <w:rPr>
          <w:rFonts w:hint="eastAsia"/>
        </w:rPr>
        <w:t>。适时出台江门公</w:t>
      </w:r>
      <w:r>
        <w:rPr>
          <w:rFonts w:hint="eastAsia"/>
        </w:rPr>
        <w:lastRenderedPageBreak/>
        <w:t>共数据开放管理办法，完善数据开放标准规范，提升公共数据开放质量和应用水平。完善公共数据开放目录管理机制，构建公共数据分级分类开放目录和动态更新机制，推动公共数据依法有序开放。健全公共数据定向开放、授权开放管理制度，有序释放公共数据进入市场化流通。推动公共数据资源依法向优秀企业、研究机构开放，营造良好的环境和氛围，吸引社会力量参与大数据应用研究。</w:t>
      </w:r>
    </w:p>
    <w:p w:rsidR="00E51332" w:rsidRDefault="00B767C7">
      <w:pPr>
        <w:ind w:firstLine="643"/>
      </w:pPr>
      <w:r>
        <w:rPr>
          <w:rFonts w:hint="eastAsia"/>
          <w:b/>
          <w:bCs/>
        </w:rPr>
        <w:t>（</w:t>
      </w:r>
      <w:r>
        <w:rPr>
          <w:rFonts w:hint="eastAsia"/>
          <w:b/>
          <w:bCs/>
        </w:rPr>
        <w:t>2</w:t>
      </w:r>
      <w:r>
        <w:rPr>
          <w:rFonts w:hint="eastAsia"/>
          <w:b/>
          <w:bCs/>
        </w:rPr>
        <w:t>）推进公共数据资源有序开放。</w:t>
      </w:r>
      <w:r>
        <w:rPr>
          <w:rFonts w:hint="eastAsia"/>
        </w:rPr>
        <w:t>升级完善“开放江门”政府数据统一开放平台，优化平台功能，加强平台运营管理。对接开放广东等数据开放平台，为社会公众利用公共数据创造便利条件。构建政府开放数据服务，实现数据资源以可再利用的数据</w:t>
      </w:r>
      <w:proofErr w:type="gramStart"/>
      <w:r>
        <w:rPr>
          <w:rFonts w:hint="eastAsia"/>
        </w:rPr>
        <w:t>集形式</w:t>
      </w:r>
      <w:proofErr w:type="gramEnd"/>
      <w:r>
        <w:rPr>
          <w:rFonts w:hint="eastAsia"/>
        </w:rPr>
        <w:t>开放。促进社会公众开放数据资源，营造全社会广泛参与和开发利用公共信息资源的良好氛围。</w:t>
      </w:r>
    </w:p>
    <w:p w:rsidR="00E51332" w:rsidRDefault="00B767C7">
      <w:pPr>
        <w:ind w:firstLine="643"/>
      </w:pPr>
      <w:r>
        <w:rPr>
          <w:rFonts w:hint="eastAsia"/>
          <w:b/>
          <w:bCs/>
        </w:rPr>
        <w:t>（</w:t>
      </w:r>
      <w:r>
        <w:rPr>
          <w:rFonts w:hint="eastAsia"/>
          <w:b/>
          <w:bCs/>
        </w:rPr>
        <w:t>3</w:t>
      </w:r>
      <w:r>
        <w:rPr>
          <w:rFonts w:hint="eastAsia"/>
          <w:b/>
          <w:bCs/>
        </w:rPr>
        <w:t>）加强政府数据、社会数据的融合。</w:t>
      </w:r>
      <w:r>
        <w:rPr>
          <w:rFonts w:hint="eastAsia"/>
        </w:rPr>
        <w:t>试点应用联邦学习技术，推进可用不可见的数据融合方案，在不违反数据隐私保护法规、数据本身不移动的情况下，建立一个虚拟的数据聚合的最优模型，为参与的各方平等地提供数据服务，破除数据融合中最大的安全和信任问题。应用区块链技术，构建数据市场基础设施，积极运用分布式记账和加密技术，推动数据共享、融合模式创新，通过在数据交易流通过程中“嵌入”智能合约，为数据交易流通提供包括资产交收、清算结算等交易合同履行服务，促进数据融合、流通交易。</w:t>
      </w:r>
    </w:p>
    <w:p w:rsidR="00E51332" w:rsidRDefault="00B767C7">
      <w:pPr>
        <w:ind w:firstLine="643"/>
      </w:pPr>
      <w:r>
        <w:rPr>
          <w:rFonts w:hint="eastAsia"/>
          <w:b/>
          <w:bCs/>
        </w:rPr>
        <w:t>（</w:t>
      </w:r>
      <w:r>
        <w:rPr>
          <w:rFonts w:hint="eastAsia"/>
          <w:b/>
          <w:bCs/>
        </w:rPr>
        <w:t>4</w:t>
      </w:r>
      <w:r>
        <w:rPr>
          <w:rFonts w:hint="eastAsia"/>
          <w:b/>
          <w:bCs/>
        </w:rPr>
        <w:t>）深化大数据分析应用</w:t>
      </w:r>
      <w:r>
        <w:rPr>
          <w:rFonts w:hint="eastAsia"/>
        </w:rPr>
        <w:t>。将更多前沿科技融入到大</w:t>
      </w:r>
      <w:r>
        <w:rPr>
          <w:rFonts w:hint="eastAsia"/>
        </w:rPr>
        <w:lastRenderedPageBreak/>
        <w:t>数据应用开发之中，推动大数据在政府协同管理、民生服务以及产业发展中的深度应用。打造独具江门特色的行业大数据示范应用，发展面向产业互联网、全域旅游、城市管理、环境保护等应用场景的大数据产品及服务，促进大数据技术与行业业务的融合创新，以示范应用推动数字产业化和产业数字化发展。</w:t>
      </w:r>
    </w:p>
    <w:tbl>
      <w:tblPr>
        <w:tblStyle w:val="ab"/>
        <w:tblW w:w="8296" w:type="dxa"/>
        <w:tblLayout w:type="fixed"/>
        <w:tblLook w:val="04A0" w:firstRow="1" w:lastRow="0" w:firstColumn="1" w:lastColumn="0" w:noHBand="0" w:noVBand="1"/>
      </w:tblPr>
      <w:tblGrid>
        <w:gridCol w:w="8296"/>
      </w:tblGrid>
      <w:tr w:rsidR="00E51332">
        <w:tc>
          <w:tcPr>
            <w:tcW w:w="8296" w:type="dxa"/>
          </w:tcPr>
          <w:p w:rsidR="00E51332" w:rsidRDefault="00B767C7">
            <w:pPr>
              <w:spacing w:line="384" w:lineRule="auto"/>
              <w:ind w:firstLineChars="0" w:firstLine="0"/>
              <w:jc w:val="center"/>
              <w:rPr>
                <w:rFonts w:eastAsia="黑体"/>
                <w:kern w:val="0"/>
                <w:sz w:val="28"/>
                <w:szCs w:val="20"/>
              </w:rPr>
            </w:pPr>
            <w:r>
              <w:rPr>
                <w:rFonts w:eastAsia="黑体"/>
                <w:kern w:val="0"/>
                <w:sz w:val="28"/>
                <w:szCs w:val="20"/>
              </w:rPr>
              <w:t>专栏</w:t>
            </w:r>
            <w:r>
              <w:rPr>
                <w:rFonts w:eastAsia="黑体"/>
                <w:kern w:val="0"/>
                <w:sz w:val="28"/>
                <w:szCs w:val="20"/>
              </w:rPr>
              <w:t xml:space="preserve"> 1</w:t>
            </w:r>
            <w:r>
              <w:rPr>
                <w:rFonts w:eastAsia="黑体" w:hint="eastAsia"/>
                <w:kern w:val="0"/>
                <w:sz w:val="28"/>
                <w:szCs w:val="20"/>
              </w:rPr>
              <w:t>3</w:t>
            </w:r>
            <w:r>
              <w:rPr>
                <w:rFonts w:eastAsia="黑体"/>
                <w:kern w:val="0"/>
                <w:sz w:val="28"/>
                <w:szCs w:val="20"/>
              </w:rPr>
              <w:t xml:space="preserve"> </w:t>
            </w:r>
            <w:r>
              <w:rPr>
                <w:rFonts w:eastAsia="黑体" w:hint="eastAsia"/>
                <w:kern w:val="0"/>
                <w:sz w:val="28"/>
                <w:szCs w:val="20"/>
              </w:rPr>
              <w:t>数据资源开发利用</w:t>
            </w:r>
            <w:r>
              <w:rPr>
                <w:rFonts w:eastAsia="黑体"/>
                <w:kern w:val="0"/>
                <w:sz w:val="28"/>
                <w:szCs w:val="20"/>
              </w:rPr>
              <w:t>重点</w:t>
            </w:r>
            <w:r>
              <w:rPr>
                <w:rFonts w:eastAsia="黑体" w:hint="eastAsia"/>
                <w:kern w:val="0"/>
                <w:sz w:val="28"/>
                <w:szCs w:val="20"/>
              </w:rPr>
              <w:t>项目</w:t>
            </w:r>
          </w:p>
        </w:tc>
      </w:tr>
      <w:tr w:rsidR="00E51332">
        <w:tc>
          <w:tcPr>
            <w:tcW w:w="8296" w:type="dxa"/>
          </w:tcPr>
          <w:p w:rsidR="00E51332" w:rsidRDefault="00B767C7">
            <w:pPr>
              <w:snapToGrid w:val="0"/>
              <w:spacing w:afterLines="50" w:after="156" w:line="480" w:lineRule="exact"/>
              <w:ind w:firstLine="560"/>
              <w:rPr>
                <w:rFonts w:ascii="仿宋_GB2312"/>
                <w:kern w:val="0"/>
                <w:sz w:val="28"/>
                <w:szCs w:val="24"/>
              </w:rPr>
            </w:pPr>
            <w:r>
              <w:rPr>
                <w:rFonts w:eastAsia="楷体_GB2312" w:hint="eastAsia"/>
                <w:kern w:val="0"/>
                <w:sz w:val="28"/>
                <w:szCs w:val="24"/>
              </w:rPr>
              <w:t>开放江门平台</w:t>
            </w:r>
            <w:r>
              <w:rPr>
                <w:rFonts w:ascii="仿宋_GB2312" w:hint="eastAsia"/>
                <w:kern w:val="0"/>
                <w:sz w:val="28"/>
                <w:szCs w:val="24"/>
              </w:rPr>
              <w:t>。完善开放江门平台，对接开放广东等数据开放平台，梳理数据开放清单，在信用、交通、医疗、卫生等重点领域开放3000个以上数据集。鼓励引导社会组织和机构开展公共数据深度挖掘和增值利用，培育数据服务产业链，促进产业发展和行业创新。</w:t>
            </w:r>
          </w:p>
          <w:p w:rsidR="00E51332" w:rsidRDefault="00B767C7">
            <w:pPr>
              <w:snapToGrid w:val="0"/>
              <w:spacing w:afterLines="50" w:after="156" w:line="480" w:lineRule="exact"/>
              <w:ind w:firstLine="560"/>
              <w:rPr>
                <w:rFonts w:ascii="仿宋_GB2312"/>
                <w:kern w:val="0"/>
                <w:sz w:val="28"/>
                <w:szCs w:val="24"/>
              </w:rPr>
            </w:pPr>
            <w:r>
              <w:rPr>
                <w:rFonts w:ascii="楷体_GB2312" w:eastAsia="楷体_GB2312" w:hint="eastAsia"/>
                <w:kern w:val="0"/>
                <w:sz w:val="28"/>
                <w:szCs w:val="24"/>
              </w:rPr>
              <w:t>政务大数据处理分析平台。</w:t>
            </w:r>
            <w:r>
              <w:rPr>
                <w:rFonts w:ascii="仿宋_GB2312" w:hint="eastAsia"/>
                <w:kern w:val="0"/>
                <w:sz w:val="28"/>
                <w:szCs w:val="24"/>
              </w:rPr>
              <w:t>建设包括数据治理、数据分析、数据挖掘、数据可视化展示等数据处理分析应用。政务大数据管理平台能对各部门的数据接入进行统一管控，各部门不再自建大规模数据仓库，只需要开发算法模型，在统一的政务大数据处理平台中加载算法，获取分析结果，支撑各部门对海量数据进行查询、统计以及数据分析和挖掘。</w:t>
            </w:r>
          </w:p>
        </w:tc>
      </w:tr>
    </w:tbl>
    <w:p w:rsidR="00E51332" w:rsidRDefault="00B767C7">
      <w:pPr>
        <w:pStyle w:val="3"/>
        <w:ind w:firstLine="643"/>
      </w:pPr>
      <w:r>
        <w:rPr>
          <w:rFonts w:hint="eastAsia"/>
        </w:rPr>
        <w:t>探索数据资源交易流通。</w:t>
      </w:r>
    </w:p>
    <w:p w:rsidR="00E51332" w:rsidRDefault="00B767C7">
      <w:pPr>
        <w:ind w:firstLine="643"/>
      </w:pPr>
      <w:r>
        <w:rPr>
          <w:rFonts w:hint="eastAsia"/>
          <w:b/>
          <w:bCs/>
        </w:rPr>
        <w:t>（</w:t>
      </w:r>
      <w:r>
        <w:rPr>
          <w:rFonts w:hint="eastAsia"/>
          <w:b/>
          <w:bCs/>
        </w:rPr>
        <w:t>1</w:t>
      </w:r>
      <w:r>
        <w:rPr>
          <w:rFonts w:hint="eastAsia"/>
          <w:b/>
          <w:bCs/>
        </w:rPr>
        <w:t>）深度融入粤港澳大湾</w:t>
      </w:r>
      <w:proofErr w:type="gramStart"/>
      <w:r>
        <w:rPr>
          <w:rFonts w:hint="eastAsia"/>
          <w:b/>
          <w:bCs/>
        </w:rPr>
        <w:t>区数据</w:t>
      </w:r>
      <w:proofErr w:type="gramEnd"/>
      <w:r>
        <w:rPr>
          <w:rFonts w:hint="eastAsia"/>
          <w:b/>
          <w:bCs/>
        </w:rPr>
        <w:t>流通。</w:t>
      </w:r>
      <w:r>
        <w:rPr>
          <w:rFonts w:hint="eastAsia"/>
        </w:rPr>
        <w:t>探索我市数据资源资产化，加快研究数据资产确权、数据市场规则、制度以及新型数据市场基础设施，确保数据真正转化为生产要素。推进通过设立数据交易市场节点或依托现有交易场所开展数据交易。积极争取数据交易、融合试验区，促进我市数据</w:t>
      </w:r>
      <w:r>
        <w:rPr>
          <w:rFonts w:hint="eastAsia"/>
        </w:rPr>
        <w:lastRenderedPageBreak/>
        <w:t>资源与粤港澳大湾</w:t>
      </w:r>
      <w:proofErr w:type="gramStart"/>
      <w:r>
        <w:rPr>
          <w:rFonts w:hint="eastAsia"/>
        </w:rPr>
        <w:t>区数据</w:t>
      </w:r>
      <w:proofErr w:type="gramEnd"/>
      <w:r>
        <w:rPr>
          <w:rFonts w:hint="eastAsia"/>
        </w:rPr>
        <w:t>资源的流通交易，推动在民生、贸易、消费、服务等方面的创新应用试点。</w:t>
      </w:r>
    </w:p>
    <w:p w:rsidR="00E51332" w:rsidRDefault="00B767C7">
      <w:pPr>
        <w:ind w:firstLine="643"/>
      </w:pPr>
      <w:r>
        <w:rPr>
          <w:rFonts w:hint="eastAsia"/>
          <w:b/>
          <w:bCs/>
        </w:rPr>
        <w:t>（</w:t>
      </w:r>
      <w:r>
        <w:rPr>
          <w:rFonts w:hint="eastAsia"/>
          <w:b/>
          <w:bCs/>
        </w:rPr>
        <w:t>2</w:t>
      </w:r>
      <w:r>
        <w:rPr>
          <w:rFonts w:hint="eastAsia"/>
          <w:b/>
          <w:bCs/>
        </w:rPr>
        <w:t>）健全数据交易监管机制。</w:t>
      </w:r>
      <w:r>
        <w:rPr>
          <w:rFonts w:hint="eastAsia"/>
        </w:rPr>
        <w:t>明确数据交易监管主体，按照省级监管制度，研究制定我市数据交易各环节的监管制度、互通规则和违规惩罚措施。建立全市数据交易跨部门协同监管机制，开展数据要素市场监管执法，打击数据交易中的不正当竞争行为。依托现有政务大数据平台，搭建数据流通监管平台，实现数据资源流通全程可视、状态可察、权益可管、权限可控、流动追溯，保障数据资源的充分开发和有序利用。</w:t>
      </w:r>
    </w:p>
    <w:p w:rsidR="00E51332" w:rsidRDefault="00B767C7">
      <w:pPr>
        <w:ind w:firstLine="643"/>
      </w:pPr>
      <w:r>
        <w:rPr>
          <w:rFonts w:hint="eastAsia"/>
          <w:b/>
          <w:bCs/>
        </w:rPr>
        <w:t>（</w:t>
      </w:r>
      <w:r>
        <w:rPr>
          <w:rFonts w:hint="eastAsia"/>
          <w:b/>
          <w:bCs/>
        </w:rPr>
        <w:t>3</w:t>
      </w:r>
      <w:r>
        <w:rPr>
          <w:rFonts w:hint="eastAsia"/>
          <w:b/>
          <w:bCs/>
        </w:rPr>
        <w:t>）推动数据产业创新集聚发展。</w:t>
      </w:r>
      <w:r>
        <w:rPr>
          <w:rFonts w:hint="eastAsia"/>
        </w:rPr>
        <w:t>培育壮大数据产业集群，适时开展我市社会数据资源普查工作。鼓励我市行业协会商会、企业和高校院所等单位搭建数据产品和服务体系，打造数据创新生态。积极引入数字化产业头部企业，培育数据服务产业，支持优秀数据服务企业做大做强，在推动我市数字政府和智慧城市建设同时，带动数据产业发展聚集。积极参与大湾</w:t>
      </w:r>
      <w:proofErr w:type="gramStart"/>
      <w:r>
        <w:rPr>
          <w:rFonts w:hint="eastAsia"/>
        </w:rPr>
        <w:t>区开放</w:t>
      </w:r>
      <w:proofErr w:type="gramEnd"/>
      <w:r>
        <w:rPr>
          <w:rFonts w:hint="eastAsia"/>
        </w:rPr>
        <w:t>数据应用创新大赛、数据赋能竞赛等活动，挖掘数字政府大数据示范应用。</w:t>
      </w:r>
    </w:p>
    <w:p w:rsidR="00E51332" w:rsidRDefault="00B767C7">
      <w:pPr>
        <w:pStyle w:val="2"/>
        <w:spacing w:before="156" w:after="156"/>
        <w:ind w:firstLine="643"/>
      </w:pPr>
      <w:bookmarkStart w:id="88" w:name="_Toc66093960"/>
      <w:bookmarkStart w:id="89" w:name="_Toc64903398"/>
      <w:r>
        <w:rPr>
          <w:rFonts w:hint="eastAsia"/>
        </w:rPr>
        <w:t>数字强基，强化集约安全基础支撑。</w:t>
      </w:r>
      <w:bookmarkEnd w:id="88"/>
      <w:bookmarkEnd w:id="89"/>
    </w:p>
    <w:p w:rsidR="00E51332" w:rsidRDefault="00B767C7">
      <w:pPr>
        <w:pStyle w:val="3"/>
        <w:ind w:firstLine="643"/>
      </w:pPr>
      <w:r>
        <w:rPr>
          <w:rFonts w:hint="eastAsia"/>
        </w:rPr>
        <w:t>实施新一代“数云”工程。</w:t>
      </w:r>
    </w:p>
    <w:p w:rsidR="00E51332" w:rsidRDefault="00B767C7">
      <w:pPr>
        <w:ind w:firstLine="643"/>
      </w:pPr>
      <w:r>
        <w:rPr>
          <w:rFonts w:hint="eastAsia"/>
          <w:b/>
          <w:bCs/>
        </w:rPr>
        <w:t>（</w:t>
      </w:r>
      <w:r>
        <w:rPr>
          <w:rFonts w:hint="eastAsia"/>
          <w:b/>
          <w:bCs/>
        </w:rPr>
        <w:t>1</w:t>
      </w:r>
      <w:r>
        <w:rPr>
          <w:rFonts w:hint="eastAsia"/>
          <w:b/>
          <w:bCs/>
        </w:rPr>
        <w:t>）完善广东“数字政府”政务云江门节点</w:t>
      </w:r>
      <w:r>
        <w:rPr>
          <w:rFonts w:hint="eastAsia"/>
        </w:rPr>
        <w:t>。按照“</w:t>
      </w:r>
      <w:r>
        <w:rPr>
          <w:rFonts w:hint="eastAsia"/>
        </w:rPr>
        <w:t>1+N+M</w:t>
      </w:r>
      <w:r>
        <w:rPr>
          <w:rFonts w:hint="eastAsia"/>
        </w:rPr>
        <w:t>”的全省“数字政府”政务</w:t>
      </w:r>
      <w:proofErr w:type="gramStart"/>
      <w:r>
        <w:rPr>
          <w:rFonts w:hint="eastAsia"/>
        </w:rPr>
        <w:t>云总体</w:t>
      </w:r>
      <w:proofErr w:type="gramEnd"/>
      <w:r>
        <w:rPr>
          <w:rFonts w:hint="eastAsia"/>
        </w:rPr>
        <w:t>框架，充分利用</w:t>
      </w:r>
      <w:r>
        <w:rPr>
          <w:rFonts w:hint="eastAsia"/>
        </w:rPr>
        <w:lastRenderedPageBreak/>
        <w:t>我市基础电信运营商的数据中心资源、网络资源以及本地化运营服务的优势，盘活政府各部门现有软硬件资产，构建</w:t>
      </w:r>
      <w:proofErr w:type="gramStart"/>
      <w:r>
        <w:rPr>
          <w:rFonts w:hint="eastAsia"/>
        </w:rPr>
        <w:t>一体化算力服务</w:t>
      </w:r>
      <w:proofErr w:type="gramEnd"/>
      <w:r>
        <w:rPr>
          <w:rFonts w:hint="eastAsia"/>
        </w:rPr>
        <w:t>体系。持续优化广东“数字政府”政务云江门节点能力，优化政务</w:t>
      </w:r>
      <w:proofErr w:type="gramStart"/>
      <w:r>
        <w:rPr>
          <w:rFonts w:hint="eastAsia"/>
        </w:rPr>
        <w:t>云算力</w:t>
      </w:r>
      <w:proofErr w:type="gramEnd"/>
      <w:r>
        <w:rPr>
          <w:rFonts w:hint="eastAsia"/>
        </w:rPr>
        <w:t>资源需求结构，进一步提升资源调度能力，提升</w:t>
      </w:r>
      <w:proofErr w:type="gramStart"/>
      <w:r>
        <w:rPr>
          <w:rFonts w:hint="eastAsia"/>
        </w:rPr>
        <w:t>云资源</w:t>
      </w:r>
      <w:proofErr w:type="gramEnd"/>
      <w:r>
        <w:rPr>
          <w:rFonts w:hint="eastAsia"/>
        </w:rPr>
        <w:t>综合利用率和应用高可用性。以应用为导向，充分发挥云集约调度优势，引导各行业合理</w:t>
      </w:r>
      <w:proofErr w:type="gramStart"/>
      <w:r>
        <w:rPr>
          <w:rFonts w:hint="eastAsia"/>
        </w:rPr>
        <w:t>使用算力资源</w:t>
      </w:r>
      <w:proofErr w:type="gramEnd"/>
      <w:r>
        <w:rPr>
          <w:rFonts w:hint="eastAsia"/>
        </w:rPr>
        <w:t>，提升基础设施利用效能。构建可信国产计算资源池，推动国产化应用软件示范落地。</w:t>
      </w:r>
    </w:p>
    <w:p w:rsidR="00E51332" w:rsidRDefault="00B767C7">
      <w:pPr>
        <w:ind w:firstLine="643"/>
      </w:pPr>
      <w:r>
        <w:rPr>
          <w:rFonts w:hint="eastAsia"/>
          <w:b/>
          <w:bCs/>
        </w:rPr>
        <w:t>（</w:t>
      </w:r>
      <w:r>
        <w:rPr>
          <w:rFonts w:hint="eastAsia"/>
          <w:b/>
          <w:bCs/>
        </w:rPr>
        <w:t>2</w:t>
      </w:r>
      <w:r>
        <w:rPr>
          <w:rFonts w:hint="eastAsia"/>
          <w:b/>
          <w:bCs/>
        </w:rPr>
        <w:t>）建设</w:t>
      </w:r>
      <w:proofErr w:type="gramStart"/>
      <w:r>
        <w:rPr>
          <w:rFonts w:hint="eastAsia"/>
          <w:b/>
          <w:bCs/>
        </w:rPr>
        <w:t>云资源</w:t>
      </w:r>
      <w:proofErr w:type="gramEnd"/>
      <w:r>
        <w:rPr>
          <w:rFonts w:hint="eastAsia"/>
          <w:b/>
          <w:bCs/>
        </w:rPr>
        <w:t>统一管控。</w:t>
      </w:r>
      <w:r>
        <w:rPr>
          <w:rFonts w:hint="eastAsia"/>
        </w:rPr>
        <w:t>搭建统一的政务</w:t>
      </w:r>
      <w:proofErr w:type="gramStart"/>
      <w:r>
        <w:rPr>
          <w:rFonts w:hint="eastAsia"/>
        </w:rPr>
        <w:t>云资源管</w:t>
      </w:r>
      <w:proofErr w:type="gramEnd"/>
      <w:r>
        <w:rPr>
          <w:rFonts w:hint="eastAsia"/>
        </w:rPr>
        <w:t>控中心，实现对整个政务云逻辑上的统一资源管理，以及运维和认证管理。加快建立</w:t>
      </w:r>
      <w:proofErr w:type="gramStart"/>
      <w:r>
        <w:rPr>
          <w:rFonts w:hint="eastAsia"/>
        </w:rPr>
        <w:t>完善云资源</w:t>
      </w:r>
      <w:proofErr w:type="gramEnd"/>
      <w:r>
        <w:rPr>
          <w:rFonts w:hint="eastAsia"/>
        </w:rPr>
        <w:t>接入和一体化调度机制，实现全市多云集约管理和服务，为“城市大脑”构建提供高速可靠的运算能力。预留开放接口，实现与省级政务云平台的对接，支持与第三方云平台对接，实现资源整合、“管运分离”、数据融合、业务贯通，改变以往部门系统分割、烟囱林立、业务隔离、资源分散的局面，最终形成江门“全市一朵云”。</w:t>
      </w:r>
    </w:p>
    <w:p w:rsidR="00E51332" w:rsidRDefault="00B767C7">
      <w:pPr>
        <w:ind w:firstLine="643"/>
      </w:pPr>
      <w:r>
        <w:rPr>
          <w:rFonts w:hint="eastAsia"/>
          <w:b/>
          <w:bCs/>
        </w:rPr>
        <w:t>（</w:t>
      </w:r>
      <w:r>
        <w:rPr>
          <w:rFonts w:hint="eastAsia"/>
          <w:b/>
          <w:bCs/>
        </w:rPr>
        <w:t>3</w:t>
      </w:r>
      <w:r>
        <w:rPr>
          <w:rFonts w:hint="eastAsia"/>
          <w:b/>
          <w:bCs/>
        </w:rPr>
        <w:t>）加快推进政务应用系统上云。</w:t>
      </w:r>
      <w:r>
        <w:rPr>
          <w:rFonts w:hint="eastAsia"/>
        </w:rPr>
        <w:t>整合部门现有机房和</w:t>
      </w:r>
      <w:r>
        <w:rPr>
          <w:rFonts w:hint="eastAsia"/>
        </w:rPr>
        <w:t>IT</w:t>
      </w:r>
      <w:r>
        <w:rPr>
          <w:rFonts w:hint="eastAsia"/>
        </w:rPr>
        <w:t>资产，根据统一政务云平台建设和系统迁移等实施进度，逐步整合、减少机房设备。制定切实可行的迁移入云计划，加快实现各部门业务系统整体迁移到江门政务云，实现资源汇聚和数据汇聚。利用市本级及各市（区）政府各部门已建</w:t>
      </w:r>
      <w:r>
        <w:rPr>
          <w:rFonts w:hint="eastAsia"/>
        </w:rPr>
        <w:t>A</w:t>
      </w:r>
      <w:r>
        <w:rPr>
          <w:rFonts w:hint="eastAsia"/>
        </w:rPr>
        <w:t>类政务数据机房作为冷备份中心，实现政务应用的冗余部</w:t>
      </w:r>
      <w:r>
        <w:rPr>
          <w:rFonts w:hint="eastAsia"/>
        </w:rPr>
        <w:lastRenderedPageBreak/>
        <w:t>署，以保障政务应用的可靠性，政务服务的连续性以及政务数据的安全性。依托省级政务云平台资源，建设江门政务云</w:t>
      </w:r>
      <w:proofErr w:type="gramStart"/>
      <w:r>
        <w:rPr>
          <w:rFonts w:hint="eastAsia"/>
        </w:rPr>
        <w:t>异地灾备中心</w:t>
      </w:r>
      <w:proofErr w:type="gramEnd"/>
      <w:r>
        <w:rPr>
          <w:rFonts w:hint="eastAsia"/>
        </w:rPr>
        <w:t>，承担数据级容灾。</w:t>
      </w:r>
    </w:p>
    <w:tbl>
      <w:tblPr>
        <w:tblStyle w:val="ab"/>
        <w:tblW w:w="8296" w:type="dxa"/>
        <w:tblLayout w:type="fixed"/>
        <w:tblLook w:val="04A0" w:firstRow="1" w:lastRow="0" w:firstColumn="1" w:lastColumn="0" w:noHBand="0" w:noVBand="1"/>
      </w:tblPr>
      <w:tblGrid>
        <w:gridCol w:w="8296"/>
      </w:tblGrid>
      <w:tr w:rsidR="00E51332">
        <w:tc>
          <w:tcPr>
            <w:tcW w:w="8296" w:type="dxa"/>
          </w:tcPr>
          <w:p w:rsidR="00E51332" w:rsidRDefault="00B767C7">
            <w:pPr>
              <w:spacing w:line="384" w:lineRule="auto"/>
              <w:ind w:firstLineChars="0" w:firstLine="0"/>
              <w:jc w:val="center"/>
              <w:rPr>
                <w:rFonts w:eastAsia="黑体"/>
                <w:kern w:val="0"/>
                <w:sz w:val="28"/>
                <w:szCs w:val="20"/>
              </w:rPr>
            </w:pPr>
            <w:r>
              <w:rPr>
                <w:rFonts w:eastAsia="黑体"/>
                <w:kern w:val="0"/>
                <w:sz w:val="28"/>
                <w:szCs w:val="20"/>
              </w:rPr>
              <w:t>专栏</w:t>
            </w:r>
            <w:r>
              <w:rPr>
                <w:rFonts w:eastAsia="黑体"/>
                <w:kern w:val="0"/>
                <w:sz w:val="28"/>
                <w:szCs w:val="20"/>
              </w:rPr>
              <w:t xml:space="preserve"> 1</w:t>
            </w:r>
            <w:r>
              <w:rPr>
                <w:rFonts w:eastAsia="黑体" w:hint="eastAsia"/>
                <w:kern w:val="0"/>
                <w:sz w:val="28"/>
                <w:szCs w:val="20"/>
              </w:rPr>
              <w:t>4</w:t>
            </w:r>
            <w:r>
              <w:rPr>
                <w:rFonts w:eastAsia="黑体"/>
                <w:kern w:val="0"/>
                <w:sz w:val="28"/>
                <w:szCs w:val="20"/>
              </w:rPr>
              <w:t xml:space="preserve"> </w:t>
            </w:r>
            <w:r>
              <w:rPr>
                <w:rFonts w:eastAsia="黑体" w:hint="eastAsia"/>
                <w:kern w:val="0"/>
                <w:sz w:val="28"/>
                <w:szCs w:val="20"/>
              </w:rPr>
              <w:t>“数云”工程</w:t>
            </w:r>
            <w:r>
              <w:rPr>
                <w:rFonts w:eastAsia="黑体"/>
                <w:kern w:val="0"/>
                <w:sz w:val="28"/>
                <w:szCs w:val="20"/>
              </w:rPr>
              <w:t>重点</w:t>
            </w:r>
            <w:r>
              <w:rPr>
                <w:rFonts w:eastAsia="黑体" w:hint="eastAsia"/>
                <w:kern w:val="0"/>
                <w:sz w:val="28"/>
                <w:szCs w:val="20"/>
              </w:rPr>
              <w:t>项目</w:t>
            </w:r>
          </w:p>
        </w:tc>
      </w:tr>
      <w:tr w:rsidR="00E51332">
        <w:tc>
          <w:tcPr>
            <w:tcW w:w="8296" w:type="dxa"/>
          </w:tcPr>
          <w:p w:rsidR="00E51332" w:rsidRDefault="00B767C7">
            <w:pPr>
              <w:snapToGrid w:val="0"/>
              <w:spacing w:afterLines="50" w:after="156" w:line="480" w:lineRule="exact"/>
              <w:ind w:firstLine="560"/>
              <w:rPr>
                <w:rFonts w:ascii="仿宋_GB2312"/>
                <w:kern w:val="0"/>
                <w:sz w:val="28"/>
                <w:szCs w:val="24"/>
              </w:rPr>
            </w:pPr>
            <w:r>
              <w:rPr>
                <w:rFonts w:eastAsia="楷体_GB2312" w:hint="eastAsia"/>
                <w:kern w:val="0"/>
                <w:sz w:val="28"/>
                <w:szCs w:val="24"/>
              </w:rPr>
              <w:t>政务云</w:t>
            </w:r>
            <w:r>
              <w:rPr>
                <w:rFonts w:ascii="仿宋_GB2312" w:hint="eastAsia"/>
                <w:kern w:val="0"/>
                <w:sz w:val="28"/>
                <w:szCs w:val="24"/>
              </w:rPr>
              <w:t>。优化广东“数字政府”政务云江门节点平台能力，应用容器编排技术和</w:t>
            </w:r>
            <w:proofErr w:type="spellStart"/>
            <w:r>
              <w:rPr>
                <w:rFonts w:ascii="仿宋_GB2312" w:hint="eastAsia"/>
                <w:kern w:val="0"/>
                <w:sz w:val="28"/>
                <w:szCs w:val="24"/>
              </w:rPr>
              <w:t>PaaS</w:t>
            </w:r>
            <w:proofErr w:type="spellEnd"/>
            <w:r>
              <w:rPr>
                <w:rFonts w:ascii="仿宋_GB2312" w:hint="eastAsia"/>
                <w:kern w:val="0"/>
                <w:sz w:val="28"/>
                <w:szCs w:val="24"/>
              </w:rPr>
              <w:t>支撑能力，提升</w:t>
            </w:r>
            <w:proofErr w:type="gramStart"/>
            <w:r>
              <w:rPr>
                <w:rFonts w:ascii="仿宋_GB2312" w:hint="eastAsia"/>
                <w:kern w:val="0"/>
                <w:sz w:val="28"/>
                <w:szCs w:val="24"/>
              </w:rPr>
              <w:t>云资源</w:t>
            </w:r>
            <w:proofErr w:type="gramEnd"/>
            <w:r>
              <w:rPr>
                <w:rFonts w:ascii="仿宋_GB2312" w:hint="eastAsia"/>
                <w:kern w:val="0"/>
                <w:sz w:val="28"/>
                <w:szCs w:val="24"/>
              </w:rPr>
              <w:t>综合利用率和应用高可用性。基于政务云，构建江门区域</w:t>
            </w:r>
            <w:proofErr w:type="gramStart"/>
            <w:r>
              <w:rPr>
                <w:rFonts w:ascii="仿宋_GB2312" w:hint="eastAsia"/>
                <w:kern w:val="0"/>
                <w:sz w:val="28"/>
                <w:szCs w:val="24"/>
              </w:rPr>
              <w:t>医疗云</w:t>
            </w:r>
            <w:proofErr w:type="gramEnd"/>
            <w:r>
              <w:rPr>
                <w:rFonts w:ascii="仿宋_GB2312" w:hint="eastAsia"/>
                <w:kern w:val="0"/>
                <w:sz w:val="28"/>
                <w:szCs w:val="24"/>
              </w:rPr>
              <w:t>平台，为医疗</w:t>
            </w:r>
            <w:proofErr w:type="gramStart"/>
            <w:r>
              <w:rPr>
                <w:rFonts w:ascii="仿宋_GB2312" w:hint="eastAsia"/>
                <w:kern w:val="0"/>
                <w:sz w:val="28"/>
                <w:szCs w:val="24"/>
              </w:rPr>
              <w:t>医</w:t>
            </w:r>
            <w:proofErr w:type="gramEnd"/>
            <w:r>
              <w:rPr>
                <w:rFonts w:ascii="仿宋_GB2312" w:hint="eastAsia"/>
                <w:kern w:val="0"/>
                <w:sz w:val="28"/>
                <w:szCs w:val="24"/>
              </w:rPr>
              <w:t>保和大健康应用提供基础能力支撑。</w:t>
            </w:r>
          </w:p>
          <w:p w:rsidR="00E51332" w:rsidRDefault="00B767C7">
            <w:pPr>
              <w:snapToGrid w:val="0"/>
              <w:spacing w:afterLines="50" w:after="156" w:line="480" w:lineRule="exact"/>
              <w:ind w:firstLine="560"/>
              <w:rPr>
                <w:rFonts w:ascii="仿宋_GB2312"/>
                <w:kern w:val="0"/>
                <w:sz w:val="28"/>
                <w:szCs w:val="24"/>
              </w:rPr>
            </w:pPr>
            <w:r>
              <w:rPr>
                <w:rFonts w:ascii="楷体_GB2312" w:eastAsia="楷体_GB2312" w:hint="eastAsia"/>
                <w:kern w:val="0"/>
                <w:sz w:val="28"/>
                <w:szCs w:val="24"/>
              </w:rPr>
              <w:t>国产政务云。</w:t>
            </w:r>
            <w:r>
              <w:rPr>
                <w:rFonts w:ascii="仿宋_GB2312" w:hint="eastAsia"/>
                <w:kern w:val="0"/>
                <w:sz w:val="28"/>
                <w:szCs w:val="24"/>
              </w:rPr>
              <w:t>构建可信国产计算资源池，推动国产化应用软件示范落地，为各部门提供安全可靠的国产政务云服务。分批次逐步推进国产化应用迁移与改造，支撑国产化创新型应用。</w:t>
            </w:r>
          </w:p>
        </w:tc>
      </w:tr>
    </w:tbl>
    <w:p w:rsidR="00E51332" w:rsidRDefault="00B767C7">
      <w:pPr>
        <w:pStyle w:val="3"/>
        <w:ind w:firstLine="643"/>
      </w:pPr>
      <w:r>
        <w:rPr>
          <w:rFonts w:hint="eastAsia"/>
        </w:rPr>
        <w:t>实施新一代“数网”工程。</w:t>
      </w:r>
    </w:p>
    <w:p w:rsidR="00E51332" w:rsidRDefault="00B767C7">
      <w:pPr>
        <w:ind w:firstLine="643"/>
      </w:pPr>
      <w:r>
        <w:rPr>
          <w:rFonts w:hint="eastAsia"/>
          <w:b/>
          <w:bCs/>
        </w:rPr>
        <w:t>（</w:t>
      </w:r>
      <w:r>
        <w:rPr>
          <w:rFonts w:hint="eastAsia"/>
          <w:b/>
          <w:bCs/>
        </w:rPr>
        <w:t>1</w:t>
      </w:r>
      <w:r>
        <w:rPr>
          <w:rFonts w:hint="eastAsia"/>
          <w:b/>
          <w:bCs/>
        </w:rPr>
        <w:t>）推动政务外网升级改造。</w:t>
      </w:r>
      <w:r>
        <w:rPr>
          <w:rFonts w:hint="eastAsia"/>
        </w:rPr>
        <w:t>构建“</w:t>
      </w:r>
      <w:r>
        <w:rPr>
          <w:rFonts w:hint="eastAsia"/>
        </w:rPr>
        <w:t>IPv6+</w:t>
      </w:r>
      <w:r>
        <w:rPr>
          <w:rFonts w:hint="eastAsia"/>
        </w:rPr>
        <w:t>端到端分片</w:t>
      </w:r>
      <w:r>
        <w:rPr>
          <w:rFonts w:hint="eastAsia"/>
        </w:rPr>
        <w:t>+</w:t>
      </w:r>
      <w:r>
        <w:rPr>
          <w:rFonts w:hint="eastAsia"/>
        </w:rPr>
        <w:t>网络</w:t>
      </w:r>
      <w:r>
        <w:rPr>
          <w:rFonts w:hint="eastAsia"/>
        </w:rPr>
        <w:t>AI</w:t>
      </w:r>
      <w:r>
        <w:rPr>
          <w:rFonts w:hint="eastAsia"/>
        </w:rPr>
        <w:t>”</w:t>
      </w:r>
      <w:proofErr w:type="gramStart"/>
      <w:r>
        <w:rPr>
          <w:rFonts w:hint="eastAsia"/>
        </w:rPr>
        <w:t>宽带超网</w:t>
      </w:r>
      <w:proofErr w:type="gramEnd"/>
      <w:r>
        <w:rPr>
          <w:rFonts w:hint="eastAsia"/>
        </w:rPr>
        <w:t>工程，利用</w:t>
      </w:r>
      <w:r>
        <w:rPr>
          <w:rFonts w:hint="eastAsia"/>
        </w:rPr>
        <w:t>SRv6</w:t>
      </w:r>
      <w:r>
        <w:rPr>
          <w:rFonts w:hint="eastAsia"/>
        </w:rPr>
        <w:t>和网络切片技术，为“城市大脑”提供高可用、高安全的承载网络。加快电子政务外网优化升级，扩大网络覆盖面，网络带宽从</w:t>
      </w:r>
      <w:r>
        <w:rPr>
          <w:rFonts w:hint="eastAsia"/>
        </w:rPr>
        <w:t>GE/10GE</w:t>
      </w:r>
      <w:r>
        <w:rPr>
          <w:rFonts w:hint="eastAsia"/>
        </w:rPr>
        <w:t>向</w:t>
      </w:r>
      <w:r>
        <w:rPr>
          <w:rFonts w:hint="eastAsia"/>
        </w:rPr>
        <w:t>100GE/400GE</w:t>
      </w:r>
      <w:r>
        <w:rPr>
          <w:rFonts w:hint="eastAsia"/>
        </w:rPr>
        <w:t>升级，建设骨干</w:t>
      </w:r>
      <w:r>
        <w:rPr>
          <w:rFonts w:hint="eastAsia"/>
        </w:rPr>
        <w:t>OTN</w:t>
      </w:r>
      <w:r>
        <w:rPr>
          <w:rFonts w:hint="eastAsia"/>
        </w:rPr>
        <w:t>传输网络，满足高速互联带宽需求。将万兆光纤网络延伸到办公室和服务区，完成网络建设的最后一公里。加快电子政务外网</w:t>
      </w:r>
      <w:r>
        <w:rPr>
          <w:rFonts w:hint="eastAsia"/>
        </w:rPr>
        <w:t>IPv6</w:t>
      </w:r>
      <w:r>
        <w:rPr>
          <w:rFonts w:hint="eastAsia"/>
        </w:rPr>
        <w:t>改造，升级改造域名系统，完善</w:t>
      </w:r>
      <w:r>
        <w:rPr>
          <w:rFonts w:hint="eastAsia"/>
        </w:rPr>
        <w:t>IPv6</w:t>
      </w:r>
      <w:r>
        <w:rPr>
          <w:rFonts w:hint="eastAsia"/>
        </w:rPr>
        <w:t>骨干网互联互通，</w:t>
      </w:r>
      <w:r>
        <w:rPr>
          <w:rFonts w:hint="eastAsia"/>
        </w:rPr>
        <w:t>IPv6</w:t>
      </w:r>
      <w:r>
        <w:rPr>
          <w:rFonts w:hint="eastAsia"/>
        </w:rPr>
        <w:t>互联网出入口扩容，提供</w:t>
      </w:r>
      <w:r>
        <w:rPr>
          <w:rFonts w:hint="eastAsia"/>
        </w:rPr>
        <w:t>IPv6</w:t>
      </w:r>
      <w:r>
        <w:rPr>
          <w:rFonts w:hint="eastAsia"/>
        </w:rPr>
        <w:t>访问通道。</w:t>
      </w:r>
    </w:p>
    <w:p w:rsidR="00E51332" w:rsidRDefault="00B767C7">
      <w:pPr>
        <w:ind w:firstLine="643"/>
      </w:pPr>
      <w:r>
        <w:rPr>
          <w:rFonts w:hint="eastAsia"/>
          <w:b/>
          <w:bCs/>
        </w:rPr>
        <w:t>（</w:t>
      </w:r>
      <w:r>
        <w:rPr>
          <w:rFonts w:hint="eastAsia"/>
          <w:b/>
          <w:bCs/>
        </w:rPr>
        <w:t>2</w:t>
      </w:r>
      <w:r>
        <w:rPr>
          <w:rFonts w:hint="eastAsia"/>
          <w:b/>
          <w:bCs/>
        </w:rPr>
        <w:t>）推动政务外网、视频专网、</w:t>
      </w:r>
      <w:proofErr w:type="gramStart"/>
      <w:r>
        <w:rPr>
          <w:rFonts w:hint="eastAsia"/>
          <w:b/>
          <w:bCs/>
        </w:rPr>
        <w:t>物联专网</w:t>
      </w:r>
      <w:proofErr w:type="gramEnd"/>
      <w:r>
        <w:rPr>
          <w:rFonts w:hint="eastAsia"/>
          <w:b/>
          <w:bCs/>
        </w:rPr>
        <w:t>“三网融合”。</w:t>
      </w:r>
      <w:r>
        <w:rPr>
          <w:rFonts w:hint="eastAsia"/>
        </w:rPr>
        <w:t>完善全市电子政务外网主网</w:t>
      </w:r>
      <w:proofErr w:type="gramStart"/>
      <w:r>
        <w:rPr>
          <w:rFonts w:hint="eastAsia"/>
        </w:rPr>
        <w:t>和备网融合</w:t>
      </w:r>
      <w:proofErr w:type="gramEnd"/>
      <w:r>
        <w:rPr>
          <w:rFonts w:hint="eastAsia"/>
        </w:rPr>
        <w:t>工作，并持续提高网络带宽和网速，全面实现网络业务的负载均衡和备份功能。</w:t>
      </w:r>
      <w:r>
        <w:rPr>
          <w:rFonts w:hint="eastAsia"/>
        </w:rPr>
        <w:lastRenderedPageBreak/>
        <w:t>充分利用电信运营商的大容量光纤链路升级改造电子政务外网，采用双链路、</w:t>
      </w:r>
      <w:proofErr w:type="gramStart"/>
      <w:r>
        <w:rPr>
          <w:rFonts w:hint="eastAsia"/>
        </w:rPr>
        <w:t>双核心</w:t>
      </w:r>
      <w:proofErr w:type="gramEnd"/>
      <w:r>
        <w:rPr>
          <w:rFonts w:hint="eastAsia"/>
        </w:rPr>
        <w:t>的组网架构，形成市、县、镇三级双核心、双链路、负载均衡的主</w:t>
      </w:r>
      <w:proofErr w:type="gramStart"/>
      <w:r>
        <w:rPr>
          <w:rFonts w:hint="eastAsia"/>
        </w:rPr>
        <w:t>备网络</w:t>
      </w:r>
      <w:proofErr w:type="gramEnd"/>
      <w:r>
        <w:rPr>
          <w:rFonts w:hint="eastAsia"/>
        </w:rPr>
        <w:t>架构。推动整合现有视频专网，充分利用现有线路资源，依托电子政务外网建设视联网，接入“雪亮工程”，为视频数据共享及分析提供支撑。依托相关网络技术实现业务流量灵活调度，提升链路利用率，实现精细化管理。</w:t>
      </w:r>
    </w:p>
    <w:p w:rsidR="00E51332" w:rsidRDefault="00B767C7">
      <w:pPr>
        <w:ind w:firstLine="643"/>
      </w:pPr>
      <w:r>
        <w:rPr>
          <w:rFonts w:hint="eastAsia"/>
          <w:b/>
          <w:bCs/>
        </w:rPr>
        <w:t>（</w:t>
      </w:r>
      <w:r>
        <w:rPr>
          <w:rFonts w:hint="eastAsia"/>
          <w:b/>
          <w:bCs/>
        </w:rPr>
        <w:t>3</w:t>
      </w:r>
      <w:r>
        <w:rPr>
          <w:rFonts w:hint="eastAsia"/>
          <w:b/>
          <w:bCs/>
        </w:rPr>
        <w:t>）加快推进政务网络互联互通。</w:t>
      </w:r>
      <w:r>
        <w:rPr>
          <w:rFonts w:hint="eastAsia"/>
        </w:rPr>
        <w:t>加快部门业务专网向市电子政务内网或外网迁移。细化电子政务网络体系，制定相应</w:t>
      </w:r>
      <w:proofErr w:type="gramStart"/>
      <w:r>
        <w:rPr>
          <w:rFonts w:hint="eastAsia"/>
        </w:rPr>
        <w:t>级别网域保护</w:t>
      </w:r>
      <w:proofErr w:type="gramEnd"/>
      <w:r>
        <w:rPr>
          <w:rFonts w:hint="eastAsia"/>
        </w:rPr>
        <w:t>要求，部署对应的网络和安全设备，满足不同级别业务安全需求。按非涉密业务迁移至电子政务外网，涉密业务迁移到电子政务内网的原则，将部门各类分散隔离的业务专网，通过网络割接、业务迁移等方式整合到统一的电子政务网络体系。优化内网网络环境，提升安全管控手段，按需拓展电子政务内网的覆盖范围。</w:t>
      </w:r>
    </w:p>
    <w:p w:rsidR="00E51332" w:rsidRDefault="00B767C7">
      <w:pPr>
        <w:ind w:firstLine="643"/>
      </w:pPr>
      <w:r>
        <w:rPr>
          <w:rFonts w:hint="eastAsia"/>
          <w:b/>
          <w:bCs/>
        </w:rPr>
        <w:t>（</w:t>
      </w:r>
      <w:r>
        <w:rPr>
          <w:rFonts w:hint="eastAsia"/>
          <w:b/>
          <w:bCs/>
        </w:rPr>
        <w:t>4</w:t>
      </w:r>
      <w:r>
        <w:rPr>
          <w:rFonts w:hint="eastAsia"/>
          <w:b/>
          <w:bCs/>
        </w:rPr>
        <w:t>）建设全市统一的政务外网互联网出口。</w:t>
      </w:r>
      <w:r>
        <w:rPr>
          <w:rFonts w:hint="eastAsia"/>
        </w:rPr>
        <w:t>按需扩容现有互联网出口，加强安全监管，为市直各单位内部人员提供统一互联网服务，满足市各级部门、各市（区）、镇（街）的互联网需求，提升政务外网承载服务能力，原则上各单位不再自建互联网出口。加强移动互联网接入平台建设，拓展互联网服务能力。</w:t>
      </w:r>
    </w:p>
    <w:tbl>
      <w:tblPr>
        <w:tblStyle w:val="ab"/>
        <w:tblW w:w="8296" w:type="dxa"/>
        <w:tblLayout w:type="fixed"/>
        <w:tblLook w:val="04A0" w:firstRow="1" w:lastRow="0" w:firstColumn="1" w:lastColumn="0" w:noHBand="0" w:noVBand="1"/>
      </w:tblPr>
      <w:tblGrid>
        <w:gridCol w:w="8296"/>
      </w:tblGrid>
      <w:tr w:rsidR="00E51332">
        <w:tc>
          <w:tcPr>
            <w:tcW w:w="8296" w:type="dxa"/>
          </w:tcPr>
          <w:p w:rsidR="00E51332" w:rsidRDefault="00B767C7">
            <w:pPr>
              <w:spacing w:line="384" w:lineRule="auto"/>
              <w:ind w:firstLineChars="0" w:firstLine="0"/>
              <w:jc w:val="center"/>
              <w:rPr>
                <w:rFonts w:eastAsia="黑体"/>
                <w:kern w:val="0"/>
                <w:sz w:val="28"/>
                <w:szCs w:val="20"/>
              </w:rPr>
            </w:pPr>
            <w:r>
              <w:rPr>
                <w:rFonts w:eastAsia="黑体"/>
                <w:kern w:val="0"/>
                <w:sz w:val="28"/>
                <w:szCs w:val="20"/>
              </w:rPr>
              <w:t>专栏</w:t>
            </w:r>
            <w:r>
              <w:rPr>
                <w:rFonts w:eastAsia="黑体"/>
                <w:kern w:val="0"/>
                <w:sz w:val="28"/>
                <w:szCs w:val="20"/>
              </w:rPr>
              <w:t xml:space="preserve"> 1</w:t>
            </w:r>
            <w:r>
              <w:rPr>
                <w:rFonts w:eastAsia="黑体" w:hint="eastAsia"/>
                <w:kern w:val="0"/>
                <w:sz w:val="28"/>
                <w:szCs w:val="20"/>
              </w:rPr>
              <w:t>5</w:t>
            </w:r>
            <w:r>
              <w:rPr>
                <w:rFonts w:eastAsia="黑体"/>
                <w:kern w:val="0"/>
                <w:sz w:val="28"/>
                <w:szCs w:val="20"/>
              </w:rPr>
              <w:t xml:space="preserve"> </w:t>
            </w:r>
            <w:r>
              <w:rPr>
                <w:rFonts w:eastAsia="黑体" w:hint="eastAsia"/>
                <w:kern w:val="0"/>
                <w:sz w:val="28"/>
                <w:szCs w:val="20"/>
              </w:rPr>
              <w:t>“数网”工程</w:t>
            </w:r>
            <w:r>
              <w:rPr>
                <w:rFonts w:eastAsia="黑体"/>
                <w:kern w:val="0"/>
                <w:sz w:val="28"/>
                <w:szCs w:val="20"/>
              </w:rPr>
              <w:t>重点</w:t>
            </w:r>
            <w:r>
              <w:rPr>
                <w:rFonts w:eastAsia="黑体" w:hint="eastAsia"/>
                <w:kern w:val="0"/>
                <w:sz w:val="28"/>
                <w:szCs w:val="20"/>
              </w:rPr>
              <w:t>项目</w:t>
            </w:r>
          </w:p>
        </w:tc>
      </w:tr>
      <w:tr w:rsidR="00E51332">
        <w:tc>
          <w:tcPr>
            <w:tcW w:w="8296" w:type="dxa"/>
          </w:tcPr>
          <w:p w:rsidR="00E51332" w:rsidRDefault="00B767C7">
            <w:pPr>
              <w:snapToGrid w:val="0"/>
              <w:spacing w:afterLines="50" w:after="156" w:line="480" w:lineRule="exact"/>
              <w:ind w:firstLine="560"/>
              <w:rPr>
                <w:rFonts w:ascii="仿宋_GB2312"/>
                <w:kern w:val="0"/>
                <w:sz w:val="28"/>
                <w:szCs w:val="24"/>
              </w:rPr>
            </w:pPr>
            <w:r>
              <w:rPr>
                <w:rFonts w:eastAsia="楷体_GB2312" w:hint="eastAsia"/>
                <w:kern w:val="0"/>
                <w:sz w:val="28"/>
                <w:szCs w:val="24"/>
              </w:rPr>
              <w:t>政务网</w:t>
            </w:r>
            <w:r>
              <w:rPr>
                <w:rFonts w:ascii="仿宋_GB2312" w:hint="eastAsia"/>
                <w:kern w:val="0"/>
                <w:sz w:val="28"/>
                <w:szCs w:val="24"/>
              </w:rPr>
              <w:t>。利用SRv6和网络切片技术，提供高可用、高安全的</w:t>
            </w:r>
            <w:r>
              <w:rPr>
                <w:rFonts w:ascii="仿宋_GB2312" w:hint="eastAsia"/>
                <w:kern w:val="0"/>
                <w:sz w:val="28"/>
                <w:szCs w:val="24"/>
              </w:rPr>
              <w:lastRenderedPageBreak/>
              <w:t>承载网络。扩大网络覆盖面，网络带宽从GE/10GE向10GE/40GE升级，将万兆光纤网络延伸到办公室和服务区，完成网络建设的最后一公里。</w:t>
            </w:r>
          </w:p>
        </w:tc>
      </w:tr>
    </w:tbl>
    <w:p w:rsidR="00E51332" w:rsidRDefault="00B767C7">
      <w:pPr>
        <w:pStyle w:val="3"/>
        <w:ind w:firstLine="643"/>
      </w:pPr>
      <w:r>
        <w:rPr>
          <w:rFonts w:hint="eastAsia"/>
        </w:rPr>
        <w:lastRenderedPageBreak/>
        <w:t>实施新一代“数仓”工程。</w:t>
      </w:r>
    </w:p>
    <w:p w:rsidR="00E51332" w:rsidRDefault="00B767C7">
      <w:pPr>
        <w:ind w:firstLine="643"/>
      </w:pPr>
      <w:r>
        <w:rPr>
          <w:rFonts w:hint="eastAsia"/>
          <w:b/>
          <w:bCs/>
        </w:rPr>
        <w:t>（</w:t>
      </w:r>
      <w:r>
        <w:rPr>
          <w:rFonts w:hint="eastAsia"/>
          <w:b/>
          <w:bCs/>
        </w:rPr>
        <w:t>1</w:t>
      </w:r>
      <w:r>
        <w:rPr>
          <w:rFonts w:hint="eastAsia"/>
          <w:b/>
          <w:bCs/>
        </w:rPr>
        <w:t>）建设城市级数据湖。</w:t>
      </w:r>
      <w:r>
        <w:rPr>
          <w:rFonts w:hint="eastAsia"/>
        </w:rPr>
        <w:t>建设完善城市数据湖底座，推动业务全面数据化，实现数据资源“应收尽收、应统尽统”，根据实际需求，配置高可用关系型数据库集群和非关系型数据库集群，提供高性能数据存储处理能力，满足城市各类数据“批量入湖、实时入湖”。加强基础信息资源治理，建设完善自然人、法人单位、自然资源和空间地理、社会信用、服务事项等基础数据库，</w:t>
      </w:r>
      <w:proofErr w:type="gramStart"/>
      <w:r>
        <w:rPr>
          <w:rFonts w:hint="eastAsia"/>
        </w:rPr>
        <w:t>构建全市</w:t>
      </w:r>
      <w:proofErr w:type="gramEnd"/>
      <w:r>
        <w:rPr>
          <w:rFonts w:hint="eastAsia"/>
        </w:rPr>
        <w:t>统一的城市</w:t>
      </w:r>
      <w:proofErr w:type="gramStart"/>
      <w:r>
        <w:rPr>
          <w:rFonts w:hint="eastAsia"/>
        </w:rPr>
        <w:t>主数据</w:t>
      </w:r>
      <w:proofErr w:type="gramEnd"/>
      <w:r>
        <w:rPr>
          <w:rFonts w:hint="eastAsia"/>
        </w:rPr>
        <w:t>中心库。在数据资源目录以及基础数据资源库基础上统筹建设健康保障、社会保障、食品药品安全、安全生产、生态环保、应急维稳、教育、交通、健康等主题数据资源库，推动形成“行业数据小脑”，丰富数据资源。</w:t>
      </w:r>
    </w:p>
    <w:p w:rsidR="00E51332" w:rsidRDefault="00B767C7">
      <w:pPr>
        <w:ind w:firstLine="643"/>
      </w:pPr>
      <w:r>
        <w:rPr>
          <w:rFonts w:hint="eastAsia"/>
          <w:b/>
          <w:bCs/>
        </w:rPr>
        <w:t>（</w:t>
      </w:r>
      <w:r>
        <w:rPr>
          <w:rFonts w:hint="eastAsia"/>
          <w:b/>
          <w:bCs/>
        </w:rPr>
        <w:t>2</w:t>
      </w:r>
      <w:r>
        <w:rPr>
          <w:rFonts w:hint="eastAsia"/>
          <w:b/>
          <w:bCs/>
        </w:rPr>
        <w:t>）优化政务数据资源目录管理</w:t>
      </w:r>
      <w:r>
        <w:rPr>
          <w:rFonts w:hint="eastAsia"/>
        </w:rPr>
        <w:t>。梳理形成全市统一的政务数据资源目录，依托政务数据资源目录管理系统，实现政务数据资源目录动态更新和管理，满足各职能部门对信息资源定位、发现、共享和开放需求，推动全市相关政务数据资源的查询、下载和订阅，支撑各类政务应用平台运行，推动业务流程持续优化、数据无缝流动、线上线下融合。</w:t>
      </w:r>
    </w:p>
    <w:p w:rsidR="00E51332" w:rsidRDefault="00B767C7">
      <w:pPr>
        <w:ind w:firstLine="643"/>
      </w:pPr>
      <w:r>
        <w:rPr>
          <w:rFonts w:hint="eastAsia"/>
          <w:b/>
          <w:bCs/>
        </w:rPr>
        <w:t>（</w:t>
      </w:r>
      <w:r>
        <w:rPr>
          <w:rFonts w:hint="eastAsia"/>
          <w:b/>
          <w:bCs/>
        </w:rPr>
        <w:t>3</w:t>
      </w:r>
      <w:r>
        <w:rPr>
          <w:rFonts w:hint="eastAsia"/>
          <w:b/>
          <w:bCs/>
        </w:rPr>
        <w:t>）持续开展全市数据治理工作</w:t>
      </w:r>
      <w:r>
        <w:rPr>
          <w:rFonts w:hint="eastAsia"/>
        </w:rPr>
        <w:t>。围绕业务应用和问题，开展全市政务数据治理专项工作，结合各部门职能和数</w:t>
      </w:r>
      <w:r>
        <w:rPr>
          <w:rFonts w:hint="eastAsia"/>
        </w:rPr>
        <w:lastRenderedPageBreak/>
        <w:t>据确权制度，落实“一数一源”。按照数据质量管理制度和标准规范，落实数据质量维护责任。根据数据标准与目录规范，推动数据标准化，对各职能部门相关系统进行升级，确保同一数据在各类政务应用中名称、类型、编码、单位等要素一致。建立数据对账和数据管理工作考核通报机制，建设数据管理综合贡献度评估模型，定期开展数据共享交换绩效评估，在制度上促进各职能部门共享数据鲜活更新。</w:t>
      </w:r>
    </w:p>
    <w:tbl>
      <w:tblPr>
        <w:tblStyle w:val="ab"/>
        <w:tblW w:w="8296" w:type="dxa"/>
        <w:tblLayout w:type="fixed"/>
        <w:tblLook w:val="04A0" w:firstRow="1" w:lastRow="0" w:firstColumn="1" w:lastColumn="0" w:noHBand="0" w:noVBand="1"/>
      </w:tblPr>
      <w:tblGrid>
        <w:gridCol w:w="8296"/>
      </w:tblGrid>
      <w:tr w:rsidR="00E51332">
        <w:tc>
          <w:tcPr>
            <w:tcW w:w="8296" w:type="dxa"/>
          </w:tcPr>
          <w:p w:rsidR="00E51332" w:rsidRDefault="00B767C7">
            <w:pPr>
              <w:spacing w:line="384" w:lineRule="auto"/>
              <w:ind w:firstLineChars="0" w:firstLine="0"/>
              <w:jc w:val="center"/>
              <w:rPr>
                <w:rFonts w:eastAsia="黑体"/>
                <w:kern w:val="0"/>
                <w:sz w:val="28"/>
                <w:szCs w:val="20"/>
              </w:rPr>
            </w:pPr>
            <w:r>
              <w:rPr>
                <w:rFonts w:eastAsia="黑体"/>
                <w:kern w:val="0"/>
                <w:sz w:val="28"/>
                <w:szCs w:val="20"/>
              </w:rPr>
              <w:t>专栏</w:t>
            </w:r>
            <w:r>
              <w:rPr>
                <w:rFonts w:eastAsia="黑体"/>
                <w:kern w:val="0"/>
                <w:sz w:val="28"/>
                <w:szCs w:val="20"/>
              </w:rPr>
              <w:t xml:space="preserve"> 1</w:t>
            </w:r>
            <w:r>
              <w:rPr>
                <w:rFonts w:eastAsia="黑体" w:hint="eastAsia"/>
                <w:kern w:val="0"/>
                <w:sz w:val="28"/>
                <w:szCs w:val="20"/>
              </w:rPr>
              <w:t>6</w:t>
            </w:r>
            <w:r>
              <w:rPr>
                <w:rFonts w:eastAsia="黑体"/>
                <w:kern w:val="0"/>
                <w:sz w:val="28"/>
                <w:szCs w:val="20"/>
              </w:rPr>
              <w:t xml:space="preserve"> </w:t>
            </w:r>
            <w:r>
              <w:rPr>
                <w:rFonts w:eastAsia="黑体" w:hint="eastAsia"/>
                <w:kern w:val="0"/>
                <w:sz w:val="28"/>
                <w:szCs w:val="20"/>
              </w:rPr>
              <w:t>“数仓”工程</w:t>
            </w:r>
            <w:r>
              <w:rPr>
                <w:rFonts w:eastAsia="黑体"/>
                <w:kern w:val="0"/>
                <w:sz w:val="28"/>
                <w:szCs w:val="20"/>
              </w:rPr>
              <w:t>重点</w:t>
            </w:r>
            <w:r>
              <w:rPr>
                <w:rFonts w:eastAsia="黑体" w:hint="eastAsia"/>
                <w:kern w:val="0"/>
                <w:sz w:val="28"/>
                <w:szCs w:val="20"/>
              </w:rPr>
              <w:t>项目</w:t>
            </w:r>
          </w:p>
        </w:tc>
      </w:tr>
      <w:tr w:rsidR="00E51332">
        <w:tc>
          <w:tcPr>
            <w:tcW w:w="8296" w:type="dxa"/>
          </w:tcPr>
          <w:p w:rsidR="00E51332" w:rsidRDefault="00B767C7">
            <w:pPr>
              <w:snapToGrid w:val="0"/>
              <w:spacing w:line="480" w:lineRule="exact"/>
              <w:ind w:firstLine="560"/>
              <w:rPr>
                <w:kern w:val="0"/>
                <w:sz w:val="28"/>
                <w:szCs w:val="20"/>
              </w:rPr>
            </w:pPr>
            <w:r>
              <w:rPr>
                <w:rFonts w:ascii="楷体_GB2312" w:eastAsia="楷体_GB2312" w:hint="eastAsia"/>
                <w:kern w:val="0"/>
                <w:sz w:val="28"/>
                <w:szCs w:val="20"/>
              </w:rPr>
              <w:t>数据湖。</w:t>
            </w:r>
            <w:r>
              <w:rPr>
                <w:kern w:val="0"/>
                <w:sz w:val="28"/>
                <w:szCs w:val="20"/>
              </w:rPr>
              <w:t>结合省市基础信息资源，建设完善市人口库、法人库、自然资源和空间地理库、社会信用信息库、电子证照等五大基础数据库。将部门业务数据库与自然人、法人等基础库建立关联关系，逐步解决部门内部数据碎片化问题。拓展企业数据和社会数据采集汇聚，构建完善本部门或牵头专业应用库。</w:t>
            </w:r>
          </w:p>
          <w:p w:rsidR="00E51332" w:rsidRDefault="00B767C7">
            <w:pPr>
              <w:snapToGrid w:val="0"/>
              <w:spacing w:after="240" w:line="480" w:lineRule="exact"/>
              <w:ind w:firstLine="560"/>
              <w:rPr>
                <w:kern w:val="0"/>
                <w:sz w:val="28"/>
                <w:szCs w:val="20"/>
              </w:rPr>
            </w:pPr>
            <w:r>
              <w:rPr>
                <w:rFonts w:ascii="楷体_GB2312" w:eastAsia="楷体_GB2312" w:hint="eastAsia"/>
                <w:kern w:val="0"/>
                <w:sz w:val="28"/>
                <w:szCs w:val="20"/>
              </w:rPr>
              <w:t>数据治理专项行动。</w:t>
            </w:r>
            <w:r>
              <w:rPr>
                <w:rFonts w:hint="eastAsia"/>
                <w:kern w:val="0"/>
                <w:sz w:val="28"/>
                <w:szCs w:val="20"/>
              </w:rPr>
              <w:t>各地各部门按照省、市统一的标准规范和要求，持续开展数据治理专项工作，围绕数据准确性、鲜活率、完整性，不断提升数据质量。开展数据治理成效考核评价，建立市、县两级政务数据治理成效的考核评价机制。</w:t>
            </w:r>
          </w:p>
        </w:tc>
      </w:tr>
    </w:tbl>
    <w:p w:rsidR="00E51332" w:rsidRDefault="00B767C7">
      <w:pPr>
        <w:pStyle w:val="3"/>
        <w:ind w:firstLine="643"/>
      </w:pPr>
      <w:r>
        <w:rPr>
          <w:rFonts w:hint="eastAsia"/>
        </w:rPr>
        <w:t>实施新一代“数图”工程。</w:t>
      </w:r>
    </w:p>
    <w:p w:rsidR="00E51332" w:rsidRDefault="00B767C7">
      <w:pPr>
        <w:spacing w:after="240"/>
        <w:ind w:firstLine="643"/>
      </w:pPr>
      <w:bookmarkStart w:id="90" w:name="_Hlk63601919"/>
      <w:r>
        <w:rPr>
          <w:rFonts w:hint="eastAsia"/>
          <w:b/>
          <w:bCs/>
        </w:rPr>
        <w:t>（</w:t>
      </w:r>
      <w:r>
        <w:rPr>
          <w:b/>
          <w:bCs/>
        </w:rPr>
        <w:t>1</w:t>
      </w:r>
      <w:r>
        <w:rPr>
          <w:rFonts w:hint="eastAsia"/>
          <w:b/>
          <w:bCs/>
        </w:rPr>
        <w:t>）加强地理信息服务。</w:t>
      </w:r>
      <w:r>
        <w:rPr>
          <w:rFonts w:hint="eastAsia"/>
        </w:rPr>
        <w:t>充分利用江门市基础测绘“十三五”规划成果，按照国家标准及相关保密要求，汇集全市人口、法人、自然资源、地名地址等地理空间信息，并按照统一标准进行处理和集成整合，形成标准统一、内容丰富、形式多样的地理空间信息。</w:t>
      </w:r>
      <w:proofErr w:type="gramStart"/>
      <w:r>
        <w:rPr>
          <w:rFonts w:hint="eastAsia"/>
        </w:rPr>
        <w:t>完善江</w:t>
      </w:r>
      <w:proofErr w:type="gramEnd"/>
      <w:r>
        <w:rPr>
          <w:rFonts w:hint="eastAsia"/>
        </w:rPr>
        <w:t>门市政务大数据中心，提供统一认证、服务注册、地理服务、数据接口与二次开发服</w:t>
      </w:r>
      <w:r>
        <w:rPr>
          <w:rFonts w:hint="eastAsia"/>
        </w:rPr>
        <w:lastRenderedPageBreak/>
        <w:t>务等功能，为全市政府部门、社会公众提供统一、集成的地理信息服务，支撑全市“一张图”的时空数据展现、空间定位、数据时空分析等多层次功能需求。</w:t>
      </w:r>
    </w:p>
    <w:tbl>
      <w:tblPr>
        <w:tblStyle w:val="ab"/>
        <w:tblW w:w="8296" w:type="dxa"/>
        <w:tblLayout w:type="fixed"/>
        <w:tblLook w:val="04A0" w:firstRow="1" w:lastRow="0" w:firstColumn="1" w:lastColumn="0" w:noHBand="0" w:noVBand="1"/>
      </w:tblPr>
      <w:tblGrid>
        <w:gridCol w:w="8296"/>
      </w:tblGrid>
      <w:tr w:rsidR="00E51332">
        <w:tc>
          <w:tcPr>
            <w:tcW w:w="8296" w:type="dxa"/>
          </w:tcPr>
          <w:bookmarkEnd w:id="90"/>
          <w:p w:rsidR="00E51332" w:rsidRDefault="00B767C7">
            <w:pPr>
              <w:spacing w:line="384" w:lineRule="auto"/>
              <w:ind w:firstLineChars="0" w:firstLine="0"/>
              <w:jc w:val="center"/>
              <w:rPr>
                <w:rFonts w:eastAsia="黑体"/>
                <w:kern w:val="0"/>
                <w:sz w:val="28"/>
                <w:szCs w:val="20"/>
              </w:rPr>
            </w:pPr>
            <w:r>
              <w:rPr>
                <w:rFonts w:eastAsia="黑体"/>
                <w:kern w:val="0"/>
                <w:sz w:val="28"/>
                <w:szCs w:val="20"/>
              </w:rPr>
              <w:t>专栏</w:t>
            </w:r>
            <w:r>
              <w:rPr>
                <w:rFonts w:eastAsia="黑体"/>
                <w:kern w:val="0"/>
                <w:sz w:val="28"/>
                <w:szCs w:val="20"/>
              </w:rPr>
              <w:t xml:space="preserve"> 1</w:t>
            </w:r>
            <w:r>
              <w:rPr>
                <w:rFonts w:eastAsia="黑体" w:hint="eastAsia"/>
                <w:kern w:val="0"/>
                <w:sz w:val="28"/>
                <w:szCs w:val="20"/>
              </w:rPr>
              <w:t>7</w:t>
            </w:r>
            <w:r>
              <w:rPr>
                <w:rFonts w:eastAsia="黑体"/>
                <w:kern w:val="0"/>
                <w:sz w:val="28"/>
                <w:szCs w:val="20"/>
              </w:rPr>
              <w:t xml:space="preserve"> </w:t>
            </w:r>
            <w:r>
              <w:rPr>
                <w:rFonts w:eastAsia="黑体" w:hint="eastAsia"/>
                <w:kern w:val="0"/>
                <w:sz w:val="28"/>
                <w:szCs w:val="20"/>
              </w:rPr>
              <w:t>基础设施</w:t>
            </w:r>
            <w:r>
              <w:rPr>
                <w:rFonts w:eastAsia="黑体"/>
                <w:kern w:val="0"/>
                <w:sz w:val="28"/>
                <w:szCs w:val="20"/>
              </w:rPr>
              <w:t>重点</w:t>
            </w:r>
            <w:r>
              <w:rPr>
                <w:rFonts w:eastAsia="黑体" w:hint="eastAsia"/>
                <w:kern w:val="0"/>
                <w:sz w:val="28"/>
                <w:szCs w:val="20"/>
              </w:rPr>
              <w:t>项目</w:t>
            </w:r>
          </w:p>
        </w:tc>
      </w:tr>
      <w:tr w:rsidR="00E51332">
        <w:tc>
          <w:tcPr>
            <w:tcW w:w="8296" w:type="dxa"/>
          </w:tcPr>
          <w:p w:rsidR="00E51332" w:rsidRDefault="00B767C7">
            <w:pPr>
              <w:snapToGrid w:val="0"/>
              <w:spacing w:afterLines="50" w:after="156" w:line="480" w:lineRule="exact"/>
              <w:ind w:firstLine="560"/>
              <w:rPr>
                <w:rFonts w:ascii="仿宋_GB2312"/>
                <w:kern w:val="0"/>
                <w:sz w:val="28"/>
                <w:szCs w:val="24"/>
              </w:rPr>
            </w:pPr>
            <w:r>
              <w:rPr>
                <w:rFonts w:eastAsia="楷体_GB2312" w:hint="eastAsia"/>
                <w:kern w:val="0"/>
                <w:sz w:val="28"/>
                <w:szCs w:val="24"/>
              </w:rPr>
              <w:t>江门市政务大数据中心升级</w:t>
            </w:r>
            <w:r>
              <w:rPr>
                <w:rFonts w:ascii="仿宋_GB2312" w:hint="eastAsia"/>
                <w:kern w:val="0"/>
                <w:sz w:val="28"/>
                <w:szCs w:val="24"/>
              </w:rPr>
              <w:t>。升级</w:t>
            </w:r>
            <w:proofErr w:type="gramStart"/>
            <w:r>
              <w:rPr>
                <w:rFonts w:ascii="仿宋_GB2312" w:hint="eastAsia"/>
                <w:kern w:val="0"/>
                <w:sz w:val="28"/>
                <w:szCs w:val="24"/>
              </w:rPr>
              <w:t>完善江</w:t>
            </w:r>
            <w:proofErr w:type="gramEnd"/>
            <w:r>
              <w:rPr>
                <w:rFonts w:ascii="仿宋_GB2312" w:hint="eastAsia"/>
                <w:kern w:val="0"/>
                <w:sz w:val="28"/>
                <w:szCs w:val="24"/>
              </w:rPr>
              <w:t>门市政务大数据中心，为全市政府部门、社会公众提供统一、集成的基础地理信息服务，支撑全市“一张图”的时空数据展现、空间定位、数据时空分析等多层次功能需求。</w:t>
            </w:r>
          </w:p>
        </w:tc>
      </w:tr>
    </w:tbl>
    <w:p w:rsidR="00E51332" w:rsidRDefault="00B767C7">
      <w:pPr>
        <w:pStyle w:val="3"/>
        <w:ind w:firstLine="643"/>
      </w:pPr>
      <w:r>
        <w:rPr>
          <w:rFonts w:hint="eastAsia"/>
        </w:rPr>
        <w:t>实施新一代“数盾”工程。</w:t>
      </w:r>
    </w:p>
    <w:p w:rsidR="00E51332" w:rsidRDefault="00B767C7">
      <w:pPr>
        <w:ind w:firstLine="643"/>
      </w:pPr>
      <w:r>
        <w:rPr>
          <w:rFonts w:hint="eastAsia"/>
          <w:b/>
          <w:bCs/>
        </w:rPr>
        <w:t>（</w:t>
      </w:r>
      <w:r>
        <w:rPr>
          <w:rFonts w:hint="eastAsia"/>
          <w:b/>
          <w:bCs/>
        </w:rPr>
        <w:t>1</w:t>
      </w:r>
      <w:r>
        <w:rPr>
          <w:rFonts w:hint="eastAsia"/>
          <w:b/>
          <w:bCs/>
        </w:rPr>
        <w:t>）提升基础设施安全防范能力。</w:t>
      </w:r>
      <w:r>
        <w:rPr>
          <w:rFonts w:hint="eastAsia"/>
        </w:rPr>
        <w:t>健全相关机制，与新型基础设施建设进度相匹配，增强网络安全管理统筹能力。加快网络安全科技创新应用，构建符合等级保护三级防护需求的安全防护能力，确保数字政府基础平台的安全防护能够满足相应等级的系统要求。完善外部单位至云平台以及云平台不同业务之间的安全隔离，着力探索物联网、国产政务云、区块链基础平台等新型基础设施安全防护体系建设，持续检验和提升信息基础设施的安全防范能力。</w:t>
      </w:r>
    </w:p>
    <w:p w:rsidR="00E51332" w:rsidRDefault="00B767C7">
      <w:pPr>
        <w:ind w:firstLine="643"/>
      </w:pPr>
      <w:r>
        <w:rPr>
          <w:rFonts w:hint="eastAsia"/>
          <w:b/>
          <w:bCs/>
        </w:rPr>
        <w:t>（</w:t>
      </w:r>
      <w:r>
        <w:rPr>
          <w:rFonts w:hint="eastAsia"/>
          <w:b/>
          <w:bCs/>
        </w:rPr>
        <w:t>2</w:t>
      </w:r>
      <w:r>
        <w:rPr>
          <w:rFonts w:hint="eastAsia"/>
          <w:b/>
          <w:bCs/>
        </w:rPr>
        <w:t>）加强数据安全和隐私保护。</w:t>
      </w:r>
      <w:r>
        <w:rPr>
          <w:rFonts w:hint="eastAsia"/>
        </w:rPr>
        <w:t>加强数据信息保护的技术水平，健全数据使用的监管机制，加强数据资源安全维护。强化数据安全监管，探索结合区块链等技术，解决数据共享中的隐私保护问题，达成数据“可用不可见”，保证原始数据不被对方或者第三方获取，全面提升我市数字政府的安全水平，保障公共数据及隐私安全。</w:t>
      </w:r>
    </w:p>
    <w:p w:rsidR="00E51332" w:rsidRDefault="00B767C7">
      <w:pPr>
        <w:ind w:firstLine="643"/>
      </w:pPr>
      <w:r>
        <w:rPr>
          <w:rFonts w:hint="eastAsia"/>
          <w:b/>
          <w:bCs/>
        </w:rPr>
        <w:lastRenderedPageBreak/>
        <w:t>（</w:t>
      </w:r>
      <w:r>
        <w:rPr>
          <w:rFonts w:hint="eastAsia"/>
          <w:b/>
          <w:bCs/>
        </w:rPr>
        <w:t>3</w:t>
      </w:r>
      <w:r>
        <w:rPr>
          <w:rFonts w:hint="eastAsia"/>
          <w:b/>
          <w:bCs/>
        </w:rPr>
        <w:t>）完善密码保障体系建设。</w:t>
      </w:r>
      <w:r>
        <w:rPr>
          <w:rFonts w:hint="eastAsia"/>
        </w:rPr>
        <w:t>依照国家密码管理有关法律法规和标准规范，完善数字政府密码基础设施建设，健全数字政府密码应用安全性评估机制。推进数字政府密码应用标准化、规范化建设，加强数字政府密码应用服务能力，推进应用系统密码改造工作，探索多中心、多因子、跨平台的密码应用平台。</w:t>
      </w:r>
    </w:p>
    <w:p w:rsidR="00E51332" w:rsidRDefault="00B767C7">
      <w:pPr>
        <w:ind w:firstLine="643"/>
      </w:pPr>
      <w:r>
        <w:rPr>
          <w:rFonts w:hint="eastAsia"/>
          <w:b/>
          <w:bCs/>
        </w:rPr>
        <w:t>（</w:t>
      </w:r>
      <w:r>
        <w:rPr>
          <w:rFonts w:hint="eastAsia"/>
          <w:b/>
          <w:bCs/>
        </w:rPr>
        <w:t>4</w:t>
      </w:r>
      <w:r>
        <w:rPr>
          <w:rFonts w:hint="eastAsia"/>
          <w:b/>
          <w:bCs/>
        </w:rPr>
        <w:t>）加强安全运营。</w:t>
      </w:r>
      <w:r>
        <w:rPr>
          <w:rFonts w:hint="eastAsia"/>
        </w:rPr>
        <w:t>构建一体化安全运营平台，强化与省政务网络安全的协调联动。结合攻击视角、威胁情报和安全</w:t>
      </w:r>
      <w:proofErr w:type="gramStart"/>
      <w:r>
        <w:rPr>
          <w:rFonts w:hint="eastAsia"/>
        </w:rPr>
        <w:t>风险工</w:t>
      </w:r>
      <w:proofErr w:type="gramEnd"/>
      <w:r>
        <w:rPr>
          <w:rFonts w:hint="eastAsia"/>
        </w:rPr>
        <w:t>单管理，完善安全监测模型，利用大数据分析、自动化编排等技术，加强集中化、自动化、智能化的安全运营能力，全面提升安全威胁风险的检测能力和应急响应处置能力，实现对自身脆弱性、网站运行风险、威胁事件及情报、病毒扩散等信息汇总、整理及挖掘分析。</w:t>
      </w:r>
    </w:p>
    <w:p w:rsidR="00E51332" w:rsidRDefault="00B767C7">
      <w:pPr>
        <w:ind w:firstLine="643"/>
      </w:pPr>
      <w:r>
        <w:rPr>
          <w:rFonts w:hint="eastAsia"/>
          <w:b/>
          <w:bCs/>
        </w:rPr>
        <w:t>（</w:t>
      </w:r>
      <w:r>
        <w:rPr>
          <w:rFonts w:hint="eastAsia"/>
          <w:b/>
          <w:bCs/>
        </w:rPr>
        <w:t>5</w:t>
      </w:r>
      <w:r>
        <w:rPr>
          <w:rFonts w:hint="eastAsia"/>
          <w:b/>
          <w:bCs/>
        </w:rPr>
        <w:t>）强化安全管理和处置能力。</w:t>
      </w:r>
      <w:r>
        <w:rPr>
          <w:rFonts w:hint="eastAsia"/>
        </w:rPr>
        <w:t>各级政务服务数据管理局统筹做好数字政府整体安全保障，进一步明确各地各部门网络、系统、数据的安全责任边界。构建涵盖设计、执行、监督三个维度的安全管理组织架构，加强对人员的背景调查和安全保密管理，建立行之有效和及时响应的合</w:t>
      </w:r>
      <w:proofErr w:type="gramStart"/>
      <w:r>
        <w:rPr>
          <w:rFonts w:hint="eastAsia"/>
        </w:rPr>
        <w:t>规</w:t>
      </w:r>
      <w:proofErr w:type="gramEnd"/>
      <w:r>
        <w:rPr>
          <w:rFonts w:hint="eastAsia"/>
        </w:rPr>
        <w:t>管理机制。建立健全“事前、事中、事后”全程安全监管联动机制，提高处置网络安全突发公共事件能力，借助第三方安全机构的技术力量监督服务质量。</w:t>
      </w:r>
    </w:p>
    <w:tbl>
      <w:tblPr>
        <w:tblStyle w:val="ab"/>
        <w:tblW w:w="8296" w:type="dxa"/>
        <w:tblLayout w:type="fixed"/>
        <w:tblLook w:val="04A0" w:firstRow="1" w:lastRow="0" w:firstColumn="1" w:lastColumn="0" w:noHBand="0" w:noVBand="1"/>
      </w:tblPr>
      <w:tblGrid>
        <w:gridCol w:w="8296"/>
      </w:tblGrid>
      <w:tr w:rsidR="00E51332">
        <w:tc>
          <w:tcPr>
            <w:tcW w:w="8296" w:type="dxa"/>
          </w:tcPr>
          <w:p w:rsidR="00E51332" w:rsidRDefault="00B767C7">
            <w:pPr>
              <w:spacing w:line="384" w:lineRule="auto"/>
              <w:ind w:firstLineChars="0" w:firstLine="0"/>
              <w:jc w:val="center"/>
              <w:rPr>
                <w:rFonts w:eastAsia="黑体"/>
                <w:kern w:val="0"/>
                <w:sz w:val="28"/>
                <w:szCs w:val="20"/>
              </w:rPr>
            </w:pPr>
            <w:r>
              <w:rPr>
                <w:rFonts w:eastAsia="黑体"/>
                <w:kern w:val="0"/>
                <w:sz w:val="28"/>
                <w:szCs w:val="20"/>
              </w:rPr>
              <w:t>专栏</w:t>
            </w:r>
            <w:r>
              <w:rPr>
                <w:rFonts w:eastAsia="黑体"/>
                <w:kern w:val="0"/>
                <w:sz w:val="28"/>
                <w:szCs w:val="20"/>
              </w:rPr>
              <w:t xml:space="preserve"> </w:t>
            </w:r>
            <w:r>
              <w:rPr>
                <w:rFonts w:eastAsia="黑体" w:hint="eastAsia"/>
                <w:kern w:val="0"/>
                <w:sz w:val="28"/>
                <w:szCs w:val="20"/>
              </w:rPr>
              <w:t>18</w:t>
            </w:r>
            <w:r>
              <w:rPr>
                <w:rFonts w:eastAsia="黑体"/>
                <w:kern w:val="0"/>
                <w:sz w:val="28"/>
                <w:szCs w:val="20"/>
              </w:rPr>
              <w:t xml:space="preserve"> </w:t>
            </w:r>
            <w:r>
              <w:rPr>
                <w:rFonts w:eastAsia="黑体" w:hint="eastAsia"/>
                <w:kern w:val="0"/>
                <w:sz w:val="28"/>
                <w:szCs w:val="20"/>
              </w:rPr>
              <w:t>“数盾”工程</w:t>
            </w:r>
            <w:r>
              <w:rPr>
                <w:rFonts w:eastAsia="黑体"/>
                <w:kern w:val="0"/>
                <w:sz w:val="28"/>
                <w:szCs w:val="20"/>
              </w:rPr>
              <w:t>重点</w:t>
            </w:r>
            <w:r>
              <w:rPr>
                <w:rFonts w:eastAsia="黑体" w:hint="eastAsia"/>
                <w:kern w:val="0"/>
                <w:sz w:val="28"/>
                <w:szCs w:val="20"/>
              </w:rPr>
              <w:t>项目</w:t>
            </w:r>
          </w:p>
        </w:tc>
      </w:tr>
      <w:tr w:rsidR="00E51332">
        <w:tc>
          <w:tcPr>
            <w:tcW w:w="8296" w:type="dxa"/>
          </w:tcPr>
          <w:p w:rsidR="00E51332" w:rsidRDefault="00B767C7">
            <w:pPr>
              <w:snapToGrid w:val="0"/>
              <w:spacing w:line="480" w:lineRule="exact"/>
              <w:ind w:firstLine="560"/>
              <w:rPr>
                <w:rFonts w:ascii="仿宋_GB2312"/>
                <w:kern w:val="0"/>
                <w:sz w:val="28"/>
                <w:szCs w:val="24"/>
              </w:rPr>
            </w:pPr>
            <w:r>
              <w:rPr>
                <w:rFonts w:eastAsia="楷体_GB2312" w:hint="eastAsia"/>
                <w:kern w:val="0"/>
                <w:sz w:val="28"/>
                <w:szCs w:val="24"/>
              </w:rPr>
              <w:t>政务</w:t>
            </w:r>
            <w:proofErr w:type="gramStart"/>
            <w:r>
              <w:rPr>
                <w:rFonts w:eastAsia="楷体_GB2312" w:hint="eastAsia"/>
                <w:kern w:val="0"/>
                <w:sz w:val="28"/>
                <w:szCs w:val="24"/>
              </w:rPr>
              <w:t>云安全</w:t>
            </w:r>
            <w:proofErr w:type="gramEnd"/>
            <w:r>
              <w:rPr>
                <w:rFonts w:eastAsia="楷体_GB2312" w:hint="eastAsia"/>
                <w:kern w:val="0"/>
                <w:sz w:val="28"/>
                <w:szCs w:val="24"/>
              </w:rPr>
              <w:t>防护。</w:t>
            </w:r>
            <w:r>
              <w:rPr>
                <w:rFonts w:ascii="仿宋_GB2312" w:hint="eastAsia"/>
                <w:kern w:val="0"/>
                <w:sz w:val="28"/>
                <w:szCs w:val="24"/>
              </w:rPr>
              <w:t>落实等级保护2.0</w:t>
            </w:r>
            <w:proofErr w:type="gramStart"/>
            <w:r>
              <w:rPr>
                <w:rFonts w:ascii="仿宋_GB2312" w:hint="eastAsia"/>
                <w:kern w:val="0"/>
                <w:sz w:val="28"/>
                <w:szCs w:val="24"/>
              </w:rPr>
              <w:t>云计算</w:t>
            </w:r>
            <w:proofErr w:type="gramEnd"/>
            <w:r>
              <w:rPr>
                <w:rFonts w:ascii="仿宋_GB2312" w:hint="eastAsia"/>
                <w:kern w:val="0"/>
                <w:sz w:val="28"/>
                <w:szCs w:val="24"/>
              </w:rPr>
              <w:t>安全扩展要求，构</w:t>
            </w:r>
            <w:r>
              <w:rPr>
                <w:rFonts w:ascii="仿宋_GB2312" w:hint="eastAsia"/>
                <w:kern w:val="0"/>
                <w:sz w:val="28"/>
                <w:szCs w:val="24"/>
              </w:rPr>
              <w:lastRenderedPageBreak/>
              <w:t>建符合等级保护三级防护需求的安全防护能力，从平台安全防护、安全运营、安全服务、安全管理等方面构建安全防护技术体系，确保云平台运行的安全性与稳定性。</w:t>
            </w:r>
          </w:p>
          <w:p w:rsidR="00E51332" w:rsidRDefault="00B767C7">
            <w:pPr>
              <w:snapToGrid w:val="0"/>
              <w:spacing w:after="240" w:line="480" w:lineRule="exact"/>
              <w:ind w:firstLine="560"/>
              <w:rPr>
                <w:rFonts w:ascii="仿宋_GB2312"/>
                <w:kern w:val="0"/>
                <w:sz w:val="28"/>
                <w:szCs w:val="24"/>
              </w:rPr>
            </w:pPr>
            <w:r>
              <w:rPr>
                <w:rFonts w:eastAsia="楷体_GB2312" w:hint="eastAsia"/>
                <w:kern w:val="0"/>
                <w:sz w:val="28"/>
                <w:szCs w:val="24"/>
              </w:rPr>
              <w:t>密码资源应用。</w:t>
            </w:r>
            <w:r>
              <w:rPr>
                <w:rFonts w:ascii="仿宋_GB2312" w:hint="eastAsia"/>
                <w:kern w:val="0"/>
                <w:sz w:val="28"/>
                <w:szCs w:val="24"/>
              </w:rPr>
              <w:t>建设密码基础设施和密码服务体系，推进已建网络和信息系统密码应用改造，实现密码在等级保护三级及以上政务信息系统、关键信息基础设施等重要网络和系统中的全面应用。</w:t>
            </w:r>
          </w:p>
        </w:tc>
      </w:tr>
    </w:tbl>
    <w:p w:rsidR="00E51332" w:rsidRDefault="00B767C7">
      <w:pPr>
        <w:pStyle w:val="3"/>
        <w:ind w:firstLine="643"/>
      </w:pPr>
      <w:r>
        <w:rPr>
          <w:rFonts w:hint="eastAsia"/>
        </w:rPr>
        <w:lastRenderedPageBreak/>
        <w:t>推进新基建集约化建设。</w:t>
      </w:r>
    </w:p>
    <w:p w:rsidR="00E51332" w:rsidRDefault="00B767C7">
      <w:pPr>
        <w:ind w:firstLine="643"/>
      </w:pPr>
      <w:r>
        <w:rPr>
          <w:rFonts w:hint="eastAsia"/>
          <w:b/>
          <w:bCs/>
        </w:rPr>
        <w:t>（</w:t>
      </w:r>
      <w:r>
        <w:rPr>
          <w:rFonts w:hint="eastAsia"/>
          <w:b/>
          <w:bCs/>
        </w:rPr>
        <w:t>1</w:t>
      </w:r>
      <w:r>
        <w:rPr>
          <w:rFonts w:hint="eastAsia"/>
          <w:b/>
          <w:bCs/>
        </w:rPr>
        <w:t>）</w:t>
      </w:r>
      <w:proofErr w:type="gramStart"/>
      <w:r>
        <w:rPr>
          <w:rFonts w:hint="eastAsia"/>
          <w:b/>
          <w:bCs/>
        </w:rPr>
        <w:t>构建物联感知</w:t>
      </w:r>
      <w:proofErr w:type="gramEnd"/>
      <w:r>
        <w:rPr>
          <w:rFonts w:hint="eastAsia"/>
          <w:b/>
          <w:bCs/>
        </w:rPr>
        <w:t>体系建设</w:t>
      </w:r>
      <w:r>
        <w:rPr>
          <w:rFonts w:hint="eastAsia"/>
        </w:rPr>
        <w:t>。</w:t>
      </w:r>
      <w:proofErr w:type="gramStart"/>
      <w:r>
        <w:rPr>
          <w:rFonts w:hint="eastAsia"/>
        </w:rPr>
        <w:t>构建全市</w:t>
      </w:r>
      <w:proofErr w:type="gramEnd"/>
      <w:r>
        <w:rPr>
          <w:rFonts w:hint="eastAsia"/>
        </w:rPr>
        <w:t>统一的智慧</w:t>
      </w:r>
      <w:proofErr w:type="gramStart"/>
      <w:r>
        <w:rPr>
          <w:rFonts w:hint="eastAsia"/>
        </w:rPr>
        <w:t>城市物联感知</w:t>
      </w:r>
      <w:proofErr w:type="gramEnd"/>
      <w:r>
        <w:rPr>
          <w:rFonts w:hint="eastAsia"/>
        </w:rPr>
        <w:t>标准体系，建设</w:t>
      </w:r>
      <w:proofErr w:type="gramStart"/>
      <w:r>
        <w:rPr>
          <w:rFonts w:hint="eastAsia"/>
        </w:rPr>
        <w:t>一体化物联感知</w:t>
      </w:r>
      <w:proofErr w:type="gramEnd"/>
      <w:r>
        <w:rPr>
          <w:rFonts w:hint="eastAsia"/>
        </w:rPr>
        <w:t>平台，推动市政基础设施感知终端同步规划、同步建设。加快推进集智慧绿色照明、</w:t>
      </w:r>
      <w:r>
        <w:rPr>
          <w:rFonts w:hint="eastAsia"/>
        </w:rPr>
        <w:t>Wi-Fi</w:t>
      </w:r>
      <w:r>
        <w:rPr>
          <w:rFonts w:hint="eastAsia"/>
        </w:rPr>
        <w:t>覆盖、环境监测、交通监控、信息发布、</w:t>
      </w:r>
      <w:r>
        <w:rPr>
          <w:rFonts w:hint="eastAsia"/>
        </w:rPr>
        <w:t>5G</w:t>
      </w:r>
      <w:r>
        <w:rPr>
          <w:rFonts w:hint="eastAsia"/>
        </w:rPr>
        <w:t>微基站、一键报警求助和智能充电桩等于一体的智慧灯杆建设，构建数据采集标准和硬件技术标准，实现“多杆合一、一杆多用”。加强交通、消防、水位、环境等城市</w:t>
      </w:r>
      <w:proofErr w:type="gramStart"/>
      <w:r>
        <w:rPr>
          <w:rFonts w:hint="eastAsia"/>
        </w:rPr>
        <w:t>部件物联感知</w:t>
      </w:r>
      <w:proofErr w:type="gramEnd"/>
      <w:r>
        <w:rPr>
          <w:rFonts w:hint="eastAsia"/>
        </w:rPr>
        <w:t>数据汇聚采集，实现各</w:t>
      </w:r>
      <w:proofErr w:type="gramStart"/>
      <w:r>
        <w:rPr>
          <w:rFonts w:hint="eastAsia"/>
        </w:rPr>
        <w:t>类物联感知</w:t>
      </w:r>
      <w:proofErr w:type="gramEnd"/>
      <w:r>
        <w:rPr>
          <w:rFonts w:hint="eastAsia"/>
        </w:rPr>
        <w:t>设备数据的智能识别、安全接入，支撑智慧应用、动态监测与可视化管理。</w:t>
      </w:r>
    </w:p>
    <w:p w:rsidR="00E51332" w:rsidRDefault="00B767C7">
      <w:pPr>
        <w:ind w:firstLine="643"/>
      </w:pPr>
      <w:r>
        <w:rPr>
          <w:rFonts w:hint="eastAsia"/>
          <w:b/>
          <w:bCs/>
        </w:rPr>
        <w:t>（</w:t>
      </w:r>
      <w:r>
        <w:rPr>
          <w:rFonts w:hint="eastAsia"/>
          <w:b/>
          <w:bCs/>
        </w:rPr>
        <w:t>2</w:t>
      </w:r>
      <w:r>
        <w:rPr>
          <w:rFonts w:hint="eastAsia"/>
          <w:b/>
          <w:bCs/>
        </w:rPr>
        <w:t>）推进视频融合共享利用</w:t>
      </w:r>
      <w:r>
        <w:rPr>
          <w:rFonts w:hint="eastAsia"/>
        </w:rPr>
        <w:t>。按照全市“雪亮工程”的统一部署，将全市各类视频监控资源统筹规划、统筹建设、统一运营，形成全市一体化的视频融合平台。建设完善“</w:t>
      </w:r>
      <w:proofErr w:type="gramStart"/>
      <w:r>
        <w:rPr>
          <w:rFonts w:hint="eastAsia"/>
        </w:rPr>
        <w:t>一</w:t>
      </w:r>
      <w:proofErr w:type="gramEnd"/>
      <w:r>
        <w:rPr>
          <w:rFonts w:hint="eastAsia"/>
        </w:rPr>
        <w:t>机一档”视频库，实现监控点位编码、地理坐标、应用场景、行业属性、共享范围等标识统一，形成标准统一的视频图像资源目录库和视频图像质量监测数据库。建设完善视频共享交换平台，按需向全市各部门开放视频图像资源，实现视频图像资源汇聚、跨行业跨层级共享、安全监测、质量评价及</w:t>
      </w:r>
      <w:r>
        <w:rPr>
          <w:rFonts w:hint="eastAsia"/>
        </w:rPr>
        <w:lastRenderedPageBreak/>
        <w:t>标准化管理。</w:t>
      </w:r>
    </w:p>
    <w:p w:rsidR="00E51332" w:rsidRDefault="00B767C7">
      <w:pPr>
        <w:ind w:firstLine="643"/>
      </w:pPr>
      <w:r>
        <w:rPr>
          <w:rFonts w:hint="eastAsia"/>
          <w:b/>
          <w:bCs/>
        </w:rPr>
        <w:t>（</w:t>
      </w:r>
      <w:r>
        <w:rPr>
          <w:rFonts w:hint="eastAsia"/>
          <w:b/>
          <w:bCs/>
        </w:rPr>
        <w:t>3</w:t>
      </w:r>
      <w:r>
        <w:rPr>
          <w:rFonts w:hint="eastAsia"/>
          <w:b/>
          <w:bCs/>
        </w:rPr>
        <w:t>）加强区块链基础建设</w:t>
      </w:r>
      <w:r>
        <w:rPr>
          <w:rFonts w:hint="eastAsia"/>
        </w:rPr>
        <w:t>。建设完善区块链可信政务服务平台，实现政务领域区块链业务的一体化。面向社会民生、金融和企业服务等应用场景，深化区块链与电子政务的技术融合，推动房屋交易、健康医疗、市场监管、社会信用、防伪溯源、公证服务等领域的“区块链</w:t>
      </w:r>
      <w:r>
        <w:rPr>
          <w:rFonts w:hint="eastAsia"/>
        </w:rPr>
        <w:t>+</w:t>
      </w:r>
      <w:r>
        <w:rPr>
          <w:rFonts w:hint="eastAsia"/>
        </w:rPr>
        <w:t>”应用落地，加速可信城市建设。</w:t>
      </w:r>
    </w:p>
    <w:p w:rsidR="00E51332" w:rsidRDefault="00B767C7">
      <w:pPr>
        <w:ind w:firstLine="643"/>
      </w:pPr>
      <w:r>
        <w:rPr>
          <w:rFonts w:hint="eastAsia"/>
          <w:b/>
          <w:bCs/>
        </w:rPr>
        <w:t>（</w:t>
      </w:r>
      <w:r>
        <w:rPr>
          <w:rFonts w:hint="eastAsia"/>
          <w:b/>
          <w:bCs/>
        </w:rPr>
        <w:t>4</w:t>
      </w:r>
      <w:r>
        <w:rPr>
          <w:rFonts w:hint="eastAsia"/>
          <w:b/>
          <w:bCs/>
        </w:rPr>
        <w:t>）构建</w:t>
      </w:r>
      <w:r>
        <w:rPr>
          <w:rFonts w:hint="eastAsia"/>
          <w:b/>
          <w:bCs/>
        </w:rPr>
        <w:t>A</w:t>
      </w:r>
      <w:r>
        <w:rPr>
          <w:b/>
          <w:bCs/>
        </w:rPr>
        <w:t>I</w:t>
      </w:r>
      <w:r>
        <w:rPr>
          <w:rFonts w:hint="eastAsia"/>
          <w:b/>
          <w:bCs/>
        </w:rPr>
        <w:t>服务能力</w:t>
      </w:r>
      <w:r>
        <w:rPr>
          <w:rFonts w:hint="eastAsia"/>
        </w:rPr>
        <w:t>。统筹建设</w:t>
      </w:r>
      <w:r>
        <w:rPr>
          <w:rFonts w:hint="eastAsia"/>
        </w:rPr>
        <w:t>AI</w:t>
      </w:r>
      <w:r>
        <w:rPr>
          <w:rFonts w:hint="eastAsia"/>
        </w:rPr>
        <w:t>服务支撑工具，为各业务领域智慧赋能，提供模型构建、感知智能、决策智能、认知智能、行为智能等的共性支撑。基于统一的</w:t>
      </w:r>
      <w:r>
        <w:rPr>
          <w:rFonts w:hint="eastAsia"/>
        </w:rPr>
        <w:t>AI</w:t>
      </w:r>
      <w:r>
        <w:rPr>
          <w:rFonts w:hint="eastAsia"/>
        </w:rPr>
        <w:t>中台，提供应急、环保、水利、城管等行业算法，应用于城市管理事件智能分析，为远程监管提供技术支撑。</w:t>
      </w:r>
    </w:p>
    <w:tbl>
      <w:tblPr>
        <w:tblStyle w:val="ab"/>
        <w:tblW w:w="8296" w:type="dxa"/>
        <w:tblLayout w:type="fixed"/>
        <w:tblLook w:val="04A0" w:firstRow="1" w:lastRow="0" w:firstColumn="1" w:lastColumn="0" w:noHBand="0" w:noVBand="1"/>
      </w:tblPr>
      <w:tblGrid>
        <w:gridCol w:w="8296"/>
      </w:tblGrid>
      <w:tr w:rsidR="00E51332">
        <w:tc>
          <w:tcPr>
            <w:tcW w:w="8296" w:type="dxa"/>
          </w:tcPr>
          <w:p w:rsidR="00E51332" w:rsidRDefault="00B767C7">
            <w:pPr>
              <w:spacing w:line="384" w:lineRule="auto"/>
              <w:ind w:firstLineChars="0" w:firstLine="0"/>
              <w:jc w:val="center"/>
              <w:rPr>
                <w:rFonts w:eastAsia="黑体"/>
                <w:kern w:val="0"/>
                <w:sz w:val="28"/>
                <w:szCs w:val="20"/>
              </w:rPr>
            </w:pPr>
            <w:r>
              <w:rPr>
                <w:rFonts w:eastAsia="黑体"/>
                <w:kern w:val="0"/>
                <w:sz w:val="28"/>
                <w:szCs w:val="20"/>
              </w:rPr>
              <w:t>专栏</w:t>
            </w:r>
            <w:r>
              <w:rPr>
                <w:rFonts w:eastAsia="黑体"/>
                <w:kern w:val="0"/>
                <w:sz w:val="28"/>
                <w:szCs w:val="20"/>
              </w:rPr>
              <w:t xml:space="preserve"> </w:t>
            </w:r>
            <w:r>
              <w:rPr>
                <w:rFonts w:eastAsia="黑体" w:hint="eastAsia"/>
                <w:kern w:val="0"/>
                <w:sz w:val="28"/>
                <w:szCs w:val="20"/>
              </w:rPr>
              <w:t>19</w:t>
            </w:r>
            <w:r>
              <w:rPr>
                <w:rFonts w:eastAsia="黑体"/>
                <w:kern w:val="0"/>
                <w:sz w:val="28"/>
                <w:szCs w:val="20"/>
              </w:rPr>
              <w:t xml:space="preserve"> </w:t>
            </w:r>
            <w:r>
              <w:rPr>
                <w:rFonts w:eastAsia="黑体" w:hint="eastAsia"/>
                <w:kern w:val="0"/>
                <w:sz w:val="28"/>
                <w:szCs w:val="20"/>
              </w:rPr>
              <w:t>新基建</w:t>
            </w:r>
            <w:r>
              <w:rPr>
                <w:rFonts w:eastAsia="黑体"/>
                <w:kern w:val="0"/>
                <w:sz w:val="28"/>
                <w:szCs w:val="20"/>
              </w:rPr>
              <w:t>重点</w:t>
            </w:r>
            <w:r>
              <w:rPr>
                <w:rFonts w:eastAsia="黑体" w:hint="eastAsia"/>
                <w:kern w:val="0"/>
                <w:sz w:val="28"/>
                <w:szCs w:val="20"/>
              </w:rPr>
              <w:t>项目</w:t>
            </w:r>
          </w:p>
        </w:tc>
      </w:tr>
      <w:tr w:rsidR="00E51332">
        <w:tc>
          <w:tcPr>
            <w:tcW w:w="8296" w:type="dxa"/>
          </w:tcPr>
          <w:p w:rsidR="00E51332" w:rsidRDefault="00B767C7">
            <w:pPr>
              <w:snapToGrid w:val="0"/>
              <w:spacing w:line="480" w:lineRule="exact"/>
              <w:ind w:firstLine="560"/>
              <w:rPr>
                <w:rFonts w:ascii="仿宋_GB2312"/>
                <w:kern w:val="0"/>
                <w:sz w:val="28"/>
                <w:szCs w:val="24"/>
              </w:rPr>
            </w:pPr>
            <w:proofErr w:type="gramStart"/>
            <w:r>
              <w:rPr>
                <w:rFonts w:eastAsia="楷体_GB2312" w:hint="eastAsia"/>
                <w:kern w:val="0"/>
                <w:sz w:val="28"/>
                <w:szCs w:val="24"/>
              </w:rPr>
              <w:t>物联感知</w:t>
            </w:r>
            <w:proofErr w:type="gramEnd"/>
            <w:r>
              <w:rPr>
                <w:rFonts w:eastAsia="楷体_GB2312" w:hint="eastAsia"/>
                <w:kern w:val="0"/>
                <w:sz w:val="28"/>
                <w:szCs w:val="24"/>
              </w:rPr>
              <w:t>平台</w:t>
            </w:r>
            <w:r>
              <w:rPr>
                <w:rFonts w:ascii="仿宋_GB2312" w:hint="eastAsia"/>
                <w:kern w:val="0"/>
                <w:sz w:val="28"/>
                <w:szCs w:val="24"/>
              </w:rPr>
              <w:t>。建设</w:t>
            </w:r>
            <w:proofErr w:type="gramStart"/>
            <w:r>
              <w:rPr>
                <w:rFonts w:ascii="仿宋_GB2312" w:hint="eastAsia"/>
                <w:kern w:val="0"/>
                <w:sz w:val="28"/>
                <w:szCs w:val="24"/>
              </w:rPr>
              <w:t>统一物联感知</w:t>
            </w:r>
            <w:proofErr w:type="gramEnd"/>
            <w:r>
              <w:rPr>
                <w:rFonts w:ascii="仿宋_GB2312" w:hint="eastAsia"/>
                <w:kern w:val="0"/>
                <w:sz w:val="28"/>
                <w:szCs w:val="24"/>
              </w:rPr>
              <w:t>平台，实现</w:t>
            </w:r>
            <w:proofErr w:type="gramStart"/>
            <w:r>
              <w:rPr>
                <w:rFonts w:ascii="仿宋_GB2312" w:hint="eastAsia"/>
                <w:kern w:val="0"/>
                <w:sz w:val="28"/>
                <w:szCs w:val="24"/>
              </w:rPr>
              <w:t>全市物联</w:t>
            </w:r>
            <w:proofErr w:type="gramEnd"/>
            <w:r>
              <w:rPr>
                <w:rFonts w:ascii="仿宋_GB2312" w:hint="eastAsia"/>
                <w:kern w:val="0"/>
                <w:sz w:val="28"/>
                <w:szCs w:val="24"/>
              </w:rPr>
              <w:t>感知设备的智能识别、安全接入、数据高效采集、数据共享、支撑智慧应用、动态监测与可视化管理等。</w:t>
            </w:r>
          </w:p>
          <w:p w:rsidR="00E51332" w:rsidRDefault="00B767C7">
            <w:pPr>
              <w:snapToGrid w:val="0"/>
              <w:spacing w:line="480" w:lineRule="exact"/>
              <w:ind w:firstLine="560"/>
              <w:rPr>
                <w:rFonts w:ascii="仿宋_GB2312"/>
                <w:kern w:val="0"/>
                <w:sz w:val="28"/>
                <w:szCs w:val="24"/>
              </w:rPr>
            </w:pPr>
            <w:r>
              <w:rPr>
                <w:rFonts w:eastAsia="楷体_GB2312" w:hint="eastAsia"/>
                <w:kern w:val="0"/>
                <w:sz w:val="28"/>
                <w:szCs w:val="24"/>
              </w:rPr>
              <w:t>江门区域</w:t>
            </w:r>
            <w:proofErr w:type="gramStart"/>
            <w:r>
              <w:rPr>
                <w:rFonts w:eastAsia="楷体_GB2312" w:hint="eastAsia"/>
                <w:kern w:val="0"/>
                <w:sz w:val="28"/>
                <w:szCs w:val="24"/>
              </w:rPr>
              <w:t>医疗云</w:t>
            </w:r>
            <w:proofErr w:type="gramEnd"/>
            <w:r>
              <w:rPr>
                <w:rFonts w:eastAsia="楷体_GB2312" w:hint="eastAsia"/>
                <w:kern w:val="0"/>
                <w:sz w:val="28"/>
                <w:szCs w:val="24"/>
              </w:rPr>
              <w:t>平台</w:t>
            </w:r>
            <w:r>
              <w:rPr>
                <w:rFonts w:ascii="仿宋_GB2312" w:hint="eastAsia"/>
                <w:kern w:val="0"/>
                <w:sz w:val="28"/>
                <w:szCs w:val="24"/>
              </w:rPr>
              <w:t>。升级扩容江门区域</w:t>
            </w:r>
            <w:proofErr w:type="gramStart"/>
            <w:r>
              <w:rPr>
                <w:rFonts w:ascii="仿宋_GB2312" w:hint="eastAsia"/>
                <w:kern w:val="0"/>
                <w:sz w:val="28"/>
                <w:szCs w:val="24"/>
              </w:rPr>
              <w:t>医疗云</w:t>
            </w:r>
            <w:proofErr w:type="gramEnd"/>
            <w:r>
              <w:rPr>
                <w:rFonts w:ascii="仿宋_GB2312" w:hint="eastAsia"/>
                <w:kern w:val="0"/>
                <w:sz w:val="28"/>
                <w:szCs w:val="24"/>
              </w:rPr>
              <w:t>平台，统筹整合</w:t>
            </w:r>
            <w:proofErr w:type="gramStart"/>
            <w:r>
              <w:rPr>
                <w:rFonts w:ascii="仿宋_GB2312" w:hint="eastAsia"/>
                <w:kern w:val="0"/>
                <w:sz w:val="28"/>
                <w:szCs w:val="24"/>
              </w:rPr>
              <w:t>医</w:t>
            </w:r>
            <w:proofErr w:type="gramEnd"/>
            <w:r>
              <w:rPr>
                <w:rFonts w:ascii="仿宋_GB2312" w:hint="eastAsia"/>
                <w:kern w:val="0"/>
                <w:sz w:val="28"/>
                <w:szCs w:val="24"/>
              </w:rPr>
              <w:t>保数据，提升医学影像存储能力和并发处理能力。</w:t>
            </w:r>
          </w:p>
          <w:p w:rsidR="00E51332" w:rsidRDefault="00B767C7">
            <w:pPr>
              <w:snapToGrid w:val="0"/>
              <w:spacing w:line="480" w:lineRule="exact"/>
              <w:ind w:firstLine="560"/>
              <w:rPr>
                <w:rFonts w:ascii="仿宋_GB2312"/>
                <w:kern w:val="0"/>
                <w:sz w:val="28"/>
                <w:szCs w:val="24"/>
              </w:rPr>
            </w:pPr>
            <w:r>
              <w:rPr>
                <w:rFonts w:eastAsia="楷体_GB2312" w:hint="eastAsia"/>
                <w:kern w:val="0"/>
                <w:sz w:val="28"/>
                <w:szCs w:val="24"/>
              </w:rPr>
              <w:t>视频融合平台</w:t>
            </w:r>
            <w:r>
              <w:rPr>
                <w:rFonts w:ascii="仿宋_GB2312" w:hint="eastAsia"/>
                <w:kern w:val="0"/>
                <w:sz w:val="28"/>
                <w:szCs w:val="24"/>
              </w:rPr>
              <w:t>。将全市各类视频监控资源统筹规划、统筹建设、统筹管理，形成全市一体化的视频融合平台，向全市各部门开放视频图像资源，实现视频图像资源汇聚、跨行业跨层级共享、安全监测、质量评价及标准化管理。</w:t>
            </w:r>
          </w:p>
          <w:p w:rsidR="00E51332" w:rsidRDefault="00B767C7">
            <w:pPr>
              <w:snapToGrid w:val="0"/>
              <w:spacing w:line="480" w:lineRule="exact"/>
              <w:ind w:firstLine="560"/>
              <w:rPr>
                <w:rFonts w:ascii="仿宋_GB2312"/>
                <w:kern w:val="0"/>
                <w:sz w:val="28"/>
                <w:szCs w:val="24"/>
              </w:rPr>
            </w:pPr>
            <w:r>
              <w:rPr>
                <w:rFonts w:eastAsia="楷体_GB2312" w:hint="eastAsia"/>
                <w:kern w:val="0"/>
                <w:sz w:val="28"/>
                <w:szCs w:val="24"/>
              </w:rPr>
              <w:t>区块链基础平台</w:t>
            </w:r>
            <w:r>
              <w:rPr>
                <w:rFonts w:ascii="仿宋_GB2312" w:hint="eastAsia"/>
                <w:kern w:val="0"/>
                <w:sz w:val="28"/>
                <w:szCs w:val="24"/>
              </w:rPr>
              <w:t>。</w:t>
            </w:r>
            <w:proofErr w:type="gramStart"/>
            <w:r>
              <w:rPr>
                <w:rFonts w:ascii="仿宋_GB2312" w:hint="eastAsia"/>
                <w:kern w:val="0"/>
                <w:sz w:val="28"/>
                <w:szCs w:val="24"/>
              </w:rPr>
              <w:t>加强政银合作</w:t>
            </w:r>
            <w:proofErr w:type="gramEnd"/>
            <w:r>
              <w:rPr>
                <w:rFonts w:ascii="仿宋_GB2312" w:hint="eastAsia"/>
                <w:kern w:val="0"/>
                <w:sz w:val="28"/>
                <w:szCs w:val="24"/>
              </w:rPr>
              <w:t>，共同构建具有自主知识产权的区块链底层平台，深化区块链与电子政务的技术融合，加速探索“区块链+”创新应用。</w:t>
            </w:r>
          </w:p>
          <w:p w:rsidR="00E51332" w:rsidRDefault="00B767C7">
            <w:pPr>
              <w:snapToGrid w:val="0"/>
              <w:spacing w:after="240" w:line="480" w:lineRule="exact"/>
              <w:ind w:firstLine="560"/>
              <w:rPr>
                <w:rFonts w:ascii="仿宋_GB2312"/>
                <w:kern w:val="0"/>
                <w:sz w:val="28"/>
                <w:szCs w:val="24"/>
              </w:rPr>
            </w:pPr>
            <w:r>
              <w:rPr>
                <w:rFonts w:eastAsia="楷体_GB2312" w:hint="eastAsia"/>
                <w:kern w:val="0"/>
                <w:sz w:val="28"/>
                <w:szCs w:val="24"/>
              </w:rPr>
              <w:lastRenderedPageBreak/>
              <w:t>AI</w:t>
            </w:r>
            <w:r>
              <w:rPr>
                <w:rFonts w:eastAsia="楷体_GB2312" w:hint="eastAsia"/>
                <w:kern w:val="0"/>
                <w:sz w:val="28"/>
                <w:szCs w:val="24"/>
              </w:rPr>
              <w:t>服务平台</w:t>
            </w:r>
            <w:r>
              <w:rPr>
                <w:rFonts w:ascii="仿宋_GB2312" w:hint="eastAsia"/>
                <w:kern w:val="0"/>
                <w:sz w:val="28"/>
                <w:szCs w:val="24"/>
              </w:rPr>
              <w:t>。建设完善AI中台，提供模型构建、感知智能、决策智能、认知智能、行为智能等的共性支撑，为各业务领域智慧赋能。</w:t>
            </w:r>
          </w:p>
        </w:tc>
      </w:tr>
    </w:tbl>
    <w:p w:rsidR="00E51332" w:rsidRDefault="00B767C7">
      <w:pPr>
        <w:pStyle w:val="2"/>
        <w:spacing w:before="156" w:after="156"/>
        <w:ind w:firstLineChars="200" w:firstLine="643"/>
      </w:pPr>
      <w:bookmarkStart w:id="91" w:name="_Toc66093961"/>
      <w:bookmarkStart w:id="92" w:name="_Toc64903399"/>
      <w:r>
        <w:rPr>
          <w:rFonts w:hint="eastAsia"/>
        </w:rPr>
        <w:lastRenderedPageBreak/>
        <w:t>数字驱动，激发高质量发展新动能。</w:t>
      </w:r>
      <w:bookmarkEnd w:id="91"/>
      <w:bookmarkEnd w:id="92"/>
    </w:p>
    <w:p w:rsidR="00E51332" w:rsidRDefault="00B767C7">
      <w:pPr>
        <w:pStyle w:val="3"/>
        <w:ind w:firstLine="643"/>
      </w:pPr>
      <w:r>
        <w:rPr>
          <w:rFonts w:hint="eastAsia"/>
        </w:rPr>
        <w:t>赋能数字经济发展。</w:t>
      </w:r>
    </w:p>
    <w:p w:rsidR="00E51332" w:rsidRDefault="00B767C7">
      <w:pPr>
        <w:spacing w:before="156" w:after="156"/>
        <w:ind w:firstLine="640"/>
        <w:rPr>
          <w:rFonts w:ascii="仿宋_GB2312"/>
          <w:szCs w:val="32"/>
        </w:rPr>
      </w:pPr>
      <w:r>
        <w:rPr>
          <w:rFonts w:ascii="仿宋_GB2312" w:hint="eastAsia"/>
          <w:szCs w:val="32"/>
        </w:rPr>
        <w:t>推动经济数字化转型，提高经济发展质量。搭建大数据精准招商平台，助力产业数字化转型升级。建设投资项目管理平台，实施投资项目全过程管理，全面掌握项目评审、投资决策、立项、开工建设、竣工验收以及投产运营动态，对重大项目推进情况实施监察预警、风险评估和督查督办。打造“夜侨都”“互联网+信息服务”，大力发展夜间经济，促进消费升级。</w:t>
      </w:r>
    </w:p>
    <w:p w:rsidR="00E51332" w:rsidRDefault="00B767C7">
      <w:pPr>
        <w:pStyle w:val="3"/>
        <w:ind w:firstLine="560"/>
      </w:pPr>
      <w:r>
        <w:rPr>
          <w:rFonts w:hint="eastAsia"/>
        </w:rPr>
        <w:t>赋能产业转型升级。</w:t>
      </w:r>
    </w:p>
    <w:p w:rsidR="00E51332" w:rsidRDefault="00B767C7">
      <w:pPr>
        <w:spacing w:before="156" w:after="156"/>
        <w:ind w:firstLine="640"/>
        <w:rPr>
          <w:rFonts w:ascii="仿宋_GB2312"/>
        </w:rPr>
      </w:pPr>
      <w:r>
        <w:rPr>
          <w:rFonts w:ascii="仿宋_GB2312" w:hint="eastAsia"/>
        </w:rPr>
        <w:t>充分发挥社会和市场活力，大力发展无处不在的数字化生活，促进消费升级。加快推动生产制造、科技研发、金融服务、商贸流通、航运物流等领域数字化转型。探索推动相关产业建设工业互联网标识解析二级节点，建设一批“数字化车间”和“智能工厂”，引导传统产业数字化、网络化、智能化转型升级。以数字融合带动工业互联网创新发展，引导一批创新龙头企业、独角兽企业以及有活力的科技企业集聚，建成一批人工智能、金融科技、数字文化、移动互联等创新创业示范项目。</w:t>
      </w:r>
    </w:p>
    <w:p w:rsidR="00E51332" w:rsidRDefault="00B767C7">
      <w:pPr>
        <w:pStyle w:val="3"/>
        <w:ind w:firstLine="560"/>
      </w:pPr>
      <w:r>
        <w:rPr>
          <w:rFonts w:hint="eastAsia"/>
        </w:rPr>
        <w:lastRenderedPageBreak/>
        <w:t>赋能数字乡村建设。</w:t>
      </w:r>
    </w:p>
    <w:p w:rsidR="00E51332" w:rsidRDefault="00B767C7">
      <w:pPr>
        <w:ind w:firstLine="640"/>
      </w:pPr>
      <w:r>
        <w:rPr>
          <w:rFonts w:hint="eastAsia"/>
        </w:rPr>
        <w:t>加快推进农业农村生产经营精准化、管理服务智能化、乡村治理数字化，推进建设以现代农业产业园特色优势产业为主的农业大数据，促进数字乡村建设。</w:t>
      </w:r>
      <w:proofErr w:type="gramStart"/>
      <w:r>
        <w:rPr>
          <w:rFonts w:hint="eastAsia"/>
        </w:rPr>
        <w:t>完善江</w:t>
      </w:r>
      <w:proofErr w:type="gramEnd"/>
      <w:r>
        <w:rPr>
          <w:rFonts w:hint="eastAsia"/>
        </w:rPr>
        <w:t>门市农产品质</w:t>
      </w:r>
      <w:proofErr w:type="gramStart"/>
      <w:r>
        <w:rPr>
          <w:rFonts w:hint="eastAsia"/>
        </w:rPr>
        <w:t>量安全</w:t>
      </w:r>
      <w:proofErr w:type="gramEnd"/>
      <w:r>
        <w:rPr>
          <w:rFonts w:hint="eastAsia"/>
        </w:rPr>
        <w:t>溯源公共服务平台建设，建立一套完善的溯源、检测体系。进一步优化升级市级农村产权流转管理服务平台，推动农村集体资产登记、保管、使用、处置等管理</w:t>
      </w:r>
      <w:proofErr w:type="gramStart"/>
      <w:r>
        <w:rPr>
          <w:rFonts w:hint="eastAsia"/>
        </w:rPr>
        <w:t>电子台账建立</w:t>
      </w:r>
      <w:proofErr w:type="gramEnd"/>
      <w:r>
        <w:rPr>
          <w:rFonts w:hint="eastAsia"/>
        </w:rPr>
        <w:t>和互联共享。开展信息进村入户工程，支持县级运营中心和</w:t>
      </w:r>
      <w:proofErr w:type="gramStart"/>
      <w:r>
        <w:rPr>
          <w:rFonts w:hint="eastAsia"/>
        </w:rPr>
        <w:t>益农</w:t>
      </w:r>
      <w:proofErr w:type="gramEnd"/>
      <w:r>
        <w:rPr>
          <w:rFonts w:hint="eastAsia"/>
        </w:rPr>
        <w:t>信息社建设，利用信息</w:t>
      </w:r>
      <w:proofErr w:type="gramStart"/>
      <w:r>
        <w:rPr>
          <w:rFonts w:hint="eastAsia"/>
        </w:rPr>
        <w:t>社推动</w:t>
      </w:r>
      <w:proofErr w:type="gramEnd"/>
      <w:r>
        <w:rPr>
          <w:rFonts w:hint="eastAsia"/>
        </w:rPr>
        <w:t>农业科技推广、农产品品牌创建、农产品追溯等应用发展。加强乡村治理能力振兴建设，推动“综治中心</w:t>
      </w:r>
      <w:r>
        <w:rPr>
          <w:rFonts w:hint="eastAsia"/>
        </w:rPr>
        <w:t>+</w:t>
      </w:r>
      <w:r>
        <w:rPr>
          <w:rFonts w:hint="eastAsia"/>
        </w:rPr>
        <w:t>网格化</w:t>
      </w:r>
      <w:r>
        <w:rPr>
          <w:rFonts w:hint="eastAsia"/>
        </w:rPr>
        <w:t>+</w:t>
      </w:r>
      <w:r>
        <w:rPr>
          <w:rFonts w:hint="eastAsia"/>
        </w:rPr>
        <w:t>信息化”建设向农村延伸，提高村级综合服务信息化水平，大力推动乡村建设和规划管理信息化。</w:t>
      </w:r>
    </w:p>
    <w:p w:rsidR="00E51332" w:rsidRDefault="00B767C7">
      <w:pPr>
        <w:pStyle w:val="3"/>
        <w:ind w:firstLine="560"/>
      </w:pPr>
      <w:r>
        <w:rPr>
          <w:rFonts w:hint="eastAsia"/>
        </w:rPr>
        <w:t>赋能文化产业发展。</w:t>
      </w:r>
    </w:p>
    <w:p w:rsidR="00E51332" w:rsidRDefault="00B767C7">
      <w:pPr>
        <w:spacing w:before="156" w:after="156"/>
        <w:ind w:firstLine="640"/>
        <w:rPr>
          <w:rFonts w:ascii="仿宋_GB2312"/>
        </w:rPr>
      </w:pPr>
      <w:r>
        <w:rPr>
          <w:rFonts w:ascii="仿宋_GB2312" w:hint="eastAsia"/>
        </w:rPr>
        <w:t>以移动应用为载体，打造“</w:t>
      </w:r>
      <w:proofErr w:type="gramStart"/>
      <w:r>
        <w:rPr>
          <w:rFonts w:ascii="仿宋_GB2312" w:hint="eastAsia"/>
        </w:rPr>
        <w:t>一机游</w:t>
      </w:r>
      <w:proofErr w:type="gramEnd"/>
      <w:r>
        <w:rPr>
          <w:rFonts w:ascii="仿宋_GB2312" w:hint="eastAsia"/>
        </w:rPr>
        <w:t>江门”，提供全面、精准、快捷</w:t>
      </w:r>
      <w:proofErr w:type="gramStart"/>
      <w:r>
        <w:rPr>
          <w:rFonts w:ascii="仿宋_GB2312" w:hint="eastAsia"/>
        </w:rPr>
        <w:t>的文旅信息</w:t>
      </w:r>
      <w:proofErr w:type="gramEnd"/>
      <w:r>
        <w:rPr>
          <w:rFonts w:ascii="仿宋_GB2312" w:hint="eastAsia"/>
        </w:rPr>
        <w:t>，实现旅游行前、行中、行后的公共服务。建设旅游大数据分析平台，加强旅游市场诚信监管，提高旅游市场研究分析能力，并结合疫情防控常态化管理，进一步强化旅游公共突发事件预防预警、快速响应和及时处置功能。结合传统文化、现代娱乐、电竞、赛事等打造新品牌、新IP，全面提升江门的旅游品牌形象。</w:t>
      </w:r>
    </w:p>
    <w:p w:rsidR="00F37474" w:rsidRDefault="00F37474">
      <w:pPr>
        <w:spacing w:before="156" w:after="156"/>
        <w:ind w:firstLine="640"/>
        <w:rPr>
          <w:rFonts w:ascii="仿宋_GB2312"/>
        </w:rPr>
      </w:pPr>
    </w:p>
    <w:tbl>
      <w:tblPr>
        <w:tblStyle w:val="ab"/>
        <w:tblW w:w="8296" w:type="dxa"/>
        <w:tblLayout w:type="fixed"/>
        <w:tblLook w:val="04A0" w:firstRow="1" w:lastRow="0" w:firstColumn="1" w:lastColumn="0" w:noHBand="0" w:noVBand="1"/>
      </w:tblPr>
      <w:tblGrid>
        <w:gridCol w:w="8296"/>
      </w:tblGrid>
      <w:tr w:rsidR="00E51332">
        <w:tc>
          <w:tcPr>
            <w:tcW w:w="8296" w:type="dxa"/>
          </w:tcPr>
          <w:p w:rsidR="00E51332" w:rsidRDefault="00B767C7">
            <w:pPr>
              <w:spacing w:line="384" w:lineRule="auto"/>
              <w:ind w:firstLineChars="0" w:firstLine="0"/>
              <w:jc w:val="center"/>
              <w:rPr>
                <w:rFonts w:eastAsia="黑体"/>
                <w:kern w:val="0"/>
                <w:sz w:val="28"/>
                <w:szCs w:val="20"/>
              </w:rPr>
            </w:pPr>
            <w:r>
              <w:rPr>
                <w:rFonts w:eastAsia="黑体"/>
                <w:kern w:val="0"/>
                <w:sz w:val="28"/>
                <w:szCs w:val="20"/>
              </w:rPr>
              <w:lastRenderedPageBreak/>
              <w:t>专栏</w:t>
            </w:r>
            <w:r>
              <w:rPr>
                <w:rFonts w:eastAsia="黑体"/>
                <w:kern w:val="0"/>
                <w:sz w:val="28"/>
                <w:szCs w:val="20"/>
              </w:rPr>
              <w:t xml:space="preserve"> 2</w:t>
            </w:r>
            <w:r>
              <w:rPr>
                <w:rFonts w:eastAsia="黑体" w:hint="eastAsia"/>
                <w:kern w:val="0"/>
                <w:sz w:val="28"/>
                <w:szCs w:val="20"/>
              </w:rPr>
              <w:t>0</w:t>
            </w:r>
            <w:r>
              <w:rPr>
                <w:rFonts w:eastAsia="黑体"/>
                <w:kern w:val="0"/>
                <w:sz w:val="28"/>
                <w:szCs w:val="20"/>
              </w:rPr>
              <w:t xml:space="preserve"> </w:t>
            </w:r>
            <w:r>
              <w:rPr>
                <w:rFonts w:eastAsia="黑体" w:hint="eastAsia"/>
                <w:kern w:val="0"/>
                <w:sz w:val="28"/>
                <w:szCs w:val="20"/>
              </w:rPr>
              <w:t>数字赋能产业升级</w:t>
            </w:r>
            <w:r>
              <w:rPr>
                <w:rFonts w:eastAsia="黑体"/>
                <w:kern w:val="0"/>
                <w:sz w:val="28"/>
                <w:szCs w:val="20"/>
              </w:rPr>
              <w:t>重点</w:t>
            </w:r>
            <w:r>
              <w:rPr>
                <w:rFonts w:eastAsia="黑体" w:hint="eastAsia"/>
                <w:kern w:val="0"/>
                <w:sz w:val="28"/>
                <w:szCs w:val="20"/>
              </w:rPr>
              <w:t>项目</w:t>
            </w:r>
          </w:p>
        </w:tc>
      </w:tr>
      <w:tr w:rsidR="00E51332">
        <w:tc>
          <w:tcPr>
            <w:tcW w:w="8296" w:type="dxa"/>
          </w:tcPr>
          <w:p w:rsidR="00E51332" w:rsidRDefault="00B767C7">
            <w:pPr>
              <w:snapToGrid w:val="0"/>
              <w:spacing w:line="480" w:lineRule="atLeast"/>
              <w:ind w:firstLine="560"/>
              <w:rPr>
                <w:rFonts w:ascii="仿宋_GB2312" w:cs="Times New Roman"/>
                <w:kern w:val="0"/>
                <w:sz w:val="28"/>
                <w:szCs w:val="24"/>
              </w:rPr>
            </w:pPr>
            <w:r>
              <w:rPr>
                <w:rFonts w:eastAsia="楷体_GB2312" w:hint="eastAsia"/>
                <w:kern w:val="0"/>
                <w:sz w:val="28"/>
                <w:szCs w:val="24"/>
              </w:rPr>
              <w:t>投资项目管理平台。</w:t>
            </w:r>
            <w:r>
              <w:rPr>
                <w:rFonts w:ascii="仿宋_GB2312" w:cs="Times New Roman" w:hint="eastAsia"/>
                <w:kern w:val="0"/>
                <w:sz w:val="28"/>
                <w:szCs w:val="24"/>
              </w:rPr>
              <w:t>投资项目全过程管理，全面掌握项目评审、投资决策、立项、开工建设、竣工验收以及投产运营动态，对重大项目推进情况实施监察预警、风险评估和督查督办。</w:t>
            </w:r>
          </w:p>
          <w:p w:rsidR="00E51332" w:rsidRDefault="00B767C7">
            <w:pPr>
              <w:snapToGrid w:val="0"/>
              <w:spacing w:line="480" w:lineRule="atLeast"/>
              <w:ind w:firstLine="560"/>
              <w:rPr>
                <w:rFonts w:ascii="仿宋_GB2312"/>
                <w:kern w:val="0"/>
                <w:sz w:val="28"/>
                <w:szCs w:val="24"/>
              </w:rPr>
            </w:pPr>
            <w:r>
              <w:rPr>
                <w:rFonts w:eastAsia="楷体_GB2312" w:hint="eastAsia"/>
                <w:kern w:val="0"/>
                <w:sz w:val="28"/>
                <w:szCs w:val="24"/>
              </w:rPr>
              <w:t>智慧农业农村平台。</w:t>
            </w:r>
            <w:proofErr w:type="gramStart"/>
            <w:r>
              <w:rPr>
                <w:rFonts w:ascii="仿宋_GB2312" w:hint="eastAsia"/>
                <w:kern w:val="0"/>
                <w:sz w:val="28"/>
                <w:szCs w:val="24"/>
              </w:rPr>
              <w:t>完善江</w:t>
            </w:r>
            <w:proofErr w:type="gramEnd"/>
            <w:r>
              <w:rPr>
                <w:rFonts w:ascii="仿宋_GB2312" w:hint="eastAsia"/>
                <w:kern w:val="0"/>
                <w:sz w:val="28"/>
                <w:szCs w:val="24"/>
              </w:rPr>
              <w:t>门市农产品质</w:t>
            </w:r>
            <w:proofErr w:type="gramStart"/>
            <w:r>
              <w:rPr>
                <w:rFonts w:ascii="仿宋_GB2312" w:hint="eastAsia"/>
                <w:kern w:val="0"/>
                <w:sz w:val="28"/>
                <w:szCs w:val="24"/>
              </w:rPr>
              <w:t>量安全</w:t>
            </w:r>
            <w:proofErr w:type="gramEnd"/>
            <w:r>
              <w:rPr>
                <w:rFonts w:ascii="仿宋_GB2312" w:hint="eastAsia"/>
                <w:kern w:val="0"/>
                <w:sz w:val="28"/>
                <w:szCs w:val="24"/>
              </w:rPr>
              <w:t>溯源公共服务平台建设，进一步优化升级市级农村产权流转管理服务平台，盘活农村宅基地资源，加强宅基地管理决策的数字化和科学化。</w:t>
            </w:r>
          </w:p>
          <w:p w:rsidR="00E51332" w:rsidRDefault="00B767C7">
            <w:pPr>
              <w:snapToGrid w:val="0"/>
              <w:spacing w:after="240" w:line="480" w:lineRule="atLeast"/>
              <w:ind w:firstLine="560"/>
              <w:rPr>
                <w:rFonts w:ascii="仿宋_GB2312"/>
                <w:kern w:val="0"/>
                <w:sz w:val="28"/>
                <w:szCs w:val="24"/>
              </w:rPr>
            </w:pPr>
            <w:r>
              <w:rPr>
                <w:rFonts w:eastAsia="楷体_GB2312" w:hint="eastAsia"/>
                <w:kern w:val="0"/>
                <w:sz w:val="28"/>
                <w:szCs w:val="24"/>
              </w:rPr>
              <w:t>旅游大数据分析平台。</w:t>
            </w:r>
            <w:r>
              <w:rPr>
                <w:rFonts w:ascii="仿宋_GB2312" w:hint="eastAsia"/>
                <w:kern w:val="0"/>
                <w:sz w:val="28"/>
                <w:szCs w:val="24"/>
              </w:rPr>
              <w:t>强化旅游公共突发事件预防预警、快速响应和及时处置，提供全面、精准、快捷</w:t>
            </w:r>
            <w:proofErr w:type="gramStart"/>
            <w:r>
              <w:rPr>
                <w:rFonts w:ascii="仿宋_GB2312" w:hint="eastAsia"/>
                <w:kern w:val="0"/>
                <w:sz w:val="28"/>
                <w:szCs w:val="24"/>
              </w:rPr>
              <w:t>的文旅信息</w:t>
            </w:r>
            <w:proofErr w:type="gramEnd"/>
            <w:r>
              <w:rPr>
                <w:rFonts w:ascii="仿宋_GB2312" w:hint="eastAsia"/>
                <w:kern w:val="0"/>
                <w:sz w:val="28"/>
                <w:szCs w:val="24"/>
              </w:rPr>
              <w:t>，实现旅游行前、行中、行后的公共服务建设。</w:t>
            </w:r>
          </w:p>
        </w:tc>
      </w:tr>
    </w:tbl>
    <w:p w:rsidR="00E51332" w:rsidRDefault="00B767C7">
      <w:pPr>
        <w:pStyle w:val="3"/>
        <w:ind w:firstLine="643"/>
      </w:pPr>
      <w:r>
        <w:rPr>
          <w:rFonts w:hint="eastAsia"/>
        </w:rPr>
        <w:t>优化数字化发展环境。</w:t>
      </w:r>
    </w:p>
    <w:p w:rsidR="00E51332" w:rsidRDefault="00B767C7">
      <w:pPr>
        <w:pStyle w:val="4"/>
        <w:numPr>
          <w:ilvl w:val="0"/>
          <w:numId w:val="5"/>
        </w:numPr>
        <w:snapToGrid w:val="0"/>
        <w:spacing w:before="240" w:after="120" w:line="240" w:lineRule="auto"/>
        <w:ind w:firstLineChars="0"/>
        <w:rPr>
          <w:rFonts w:ascii="Times New Roman" w:eastAsia="仿宋_GB2312" w:hAnsi="Times New Roman" w:cstheme="minorBidi"/>
          <w:sz w:val="32"/>
          <w:szCs w:val="22"/>
        </w:rPr>
      </w:pPr>
      <w:bookmarkStart w:id="93" w:name="_Toc57725768"/>
      <w:r>
        <w:rPr>
          <w:rFonts w:ascii="Times New Roman" w:eastAsia="仿宋_GB2312" w:hAnsi="Times New Roman" w:cstheme="minorBidi" w:hint="eastAsia"/>
          <w:sz w:val="32"/>
          <w:szCs w:val="22"/>
        </w:rPr>
        <w:t>优化数字政府运行管理模式。</w:t>
      </w:r>
    </w:p>
    <w:p w:rsidR="00E51332" w:rsidRDefault="00B767C7">
      <w:pPr>
        <w:ind w:firstLine="643"/>
      </w:pPr>
      <w:r>
        <w:rPr>
          <w:rFonts w:hint="eastAsia"/>
          <w:b/>
          <w:bCs/>
        </w:rPr>
        <w:t>健全统筹管理机制</w:t>
      </w:r>
      <w:r>
        <w:rPr>
          <w:rFonts w:hint="eastAsia"/>
        </w:rPr>
        <w:t>。建立数字政府部门联席会议机制和首席数据官（</w:t>
      </w:r>
      <w:r>
        <w:rPr>
          <w:rFonts w:hint="eastAsia"/>
        </w:rPr>
        <w:t>CDO</w:t>
      </w:r>
      <w:r>
        <w:rPr>
          <w:rFonts w:hint="eastAsia"/>
        </w:rPr>
        <w:t>）责任制，各市直单位负责人担任首席数据官（</w:t>
      </w:r>
      <w:r>
        <w:rPr>
          <w:rFonts w:hint="eastAsia"/>
        </w:rPr>
        <w:t>CDO</w:t>
      </w:r>
      <w:r>
        <w:rPr>
          <w:rFonts w:hint="eastAsia"/>
        </w:rPr>
        <w:t>），细化明确各级政务服务数据管理局与各职能部门数字政府建设的分工和责任边界。推行</w:t>
      </w:r>
      <w:proofErr w:type="gramStart"/>
      <w:r>
        <w:rPr>
          <w:rFonts w:hint="eastAsia"/>
        </w:rPr>
        <w:t>行</w:t>
      </w:r>
      <w:proofErr w:type="gramEnd"/>
      <w:r>
        <w:rPr>
          <w:rFonts w:hint="eastAsia"/>
        </w:rPr>
        <w:t>业主系统、</w:t>
      </w:r>
      <w:proofErr w:type="gramStart"/>
      <w:r>
        <w:rPr>
          <w:rFonts w:hint="eastAsia"/>
        </w:rPr>
        <w:t>主数据</w:t>
      </w:r>
      <w:proofErr w:type="gramEnd"/>
      <w:r>
        <w:rPr>
          <w:rFonts w:hint="eastAsia"/>
        </w:rPr>
        <w:t>制度，围绕业务职能，推动各行业系统清理整合，形成以若干个主系统、若干</w:t>
      </w:r>
      <w:proofErr w:type="gramStart"/>
      <w:r>
        <w:rPr>
          <w:rFonts w:hint="eastAsia"/>
        </w:rPr>
        <w:t>类主数据</w:t>
      </w:r>
      <w:proofErr w:type="gramEnd"/>
      <w:r>
        <w:rPr>
          <w:rFonts w:hint="eastAsia"/>
        </w:rPr>
        <w:t>为核心的数字政府信息化建设方式。构建数字政府多维评价体系，建立关键评价指标，落实考核和精准督查机制，将数字政府建设列入重点督查内容，发挥考核督查导向作用，从基础支撑、数据资源共享与开放、政务服务成熟度和体验度、政府治理的协同度和精细度等维度对各部门、各市（区）数字政府建设情况进行评价，明确差距和发展方向。</w:t>
      </w:r>
    </w:p>
    <w:p w:rsidR="00E51332" w:rsidRDefault="00B767C7">
      <w:pPr>
        <w:ind w:firstLine="643"/>
      </w:pPr>
      <w:r>
        <w:rPr>
          <w:rFonts w:hint="eastAsia"/>
          <w:b/>
          <w:bCs/>
        </w:rPr>
        <w:lastRenderedPageBreak/>
        <w:t>优化项目管理模式</w:t>
      </w:r>
      <w:r>
        <w:rPr>
          <w:rFonts w:hint="eastAsia"/>
        </w:rPr>
        <w:t>。制订并完善政务信息化服务项目管理办法，明确项目立项审批、采购、实施、验收、运维、监督等管理要求和相关流程、规范。完善数字政府项目管理平台，保障政务信息化服务项目的统一性、整合性，提高项目建设质量和管理水平。推动市政务信息化服务项目由政府投资建设向购买服务转变，实现政府轻资产运行，提高项目实施灵活性。</w:t>
      </w:r>
    </w:p>
    <w:p w:rsidR="00E51332" w:rsidRDefault="00B767C7">
      <w:pPr>
        <w:ind w:firstLine="643"/>
      </w:pPr>
      <w:r>
        <w:rPr>
          <w:rFonts w:hint="eastAsia"/>
          <w:b/>
          <w:bCs/>
        </w:rPr>
        <w:t>提升建设运营能力</w:t>
      </w:r>
      <w:r>
        <w:rPr>
          <w:rFonts w:hint="eastAsia"/>
        </w:rPr>
        <w:t>。按照“共同参与、统一标准、分级维护”的原则，充分发挥数字政府建设运营机构主体支撑作用，优化建设运营机构业务范畴、优化收费标准。建立分级运</w:t>
      </w:r>
      <w:proofErr w:type="gramStart"/>
      <w:r>
        <w:rPr>
          <w:rFonts w:hint="eastAsia"/>
        </w:rPr>
        <w:t>维管理</w:t>
      </w:r>
      <w:proofErr w:type="gramEnd"/>
      <w:r>
        <w:rPr>
          <w:rFonts w:hint="eastAsia"/>
        </w:rPr>
        <w:t>制度，健全一体化运</w:t>
      </w:r>
      <w:proofErr w:type="gramStart"/>
      <w:r>
        <w:rPr>
          <w:rFonts w:hint="eastAsia"/>
        </w:rPr>
        <w:t>维保障</w:t>
      </w:r>
      <w:proofErr w:type="gramEnd"/>
      <w:r>
        <w:rPr>
          <w:rFonts w:hint="eastAsia"/>
        </w:rPr>
        <w:t>体系。明确市政务服务数据管理局、各业务部门、各市（区）之间的运维分工，规范服务标准，签订运</w:t>
      </w:r>
      <w:proofErr w:type="gramStart"/>
      <w:r>
        <w:rPr>
          <w:rFonts w:hint="eastAsia"/>
        </w:rPr>
        <w:t>维合作</w:t>
      </w:r>
      <w:proofErr w:type="gramEnd"/>
      <w:r>
        <w:rPr>
          <w:rFonts w:hint="eastAsia"/>
        </w:rPr>
        <w:t>协议，切实保障江门市数字政府相关运</w:t>
      </w:r>
      <w:proofErr w:type="gramStart"/>
      <w:r>
        <w:rPr>
          <w:rFonts w:hint="eastAsia"/>
        </w:rPr>
        <w:t>维管理</w:t>
      </w:r>
      <w:proofErr w:type="gramEnd"/>
      <w:r>
        <w:rPr>
          <w:rFonts w:hint="eastAsia"/>
        </w:rPr>
        <w:t>工作。充分利用本地优秀企业的技术力量联合产业生态促进应用创新，组建本地化运维团队，组织对数字政府基础设施、应用系统、数据资源、网络设备、终端设备等，提供系统业务运营服务。</w:t>
      </w:r>
    </w:p>
    <w:p w:rsidR="00E51332" w:rsidRDefault="00B767C7">
      <w:pPr>
        <w:pStyle w:val="4"/>
        <w:numPr>
          <w:ilvl w:val="0"/>
          <w:numId w:val="5"/>
        </w:numPr>
        <w:snapToGrid w:val="0"/>
        <w:spacing w:before="240" w:after="120" w:line="240" w:lineRule="auto"/>
        <w:ind w:firstLineChars="0"/>
        <w:rPr>
          <w:rFonts w:ascii="Times New Roman" w:eastAsia="仿宋_GB2312" w:hAnsi="Times New Roman" w:cstheme="minorBidi"/>
          <w:sz w:val="32"/>
          <w:szCs w:val="22"/>
        </w:rPr>
      </w:pPr>
      <w:r>
        <w:rPr>
          <w:rFonts w:ascii="Times New Roman" w:eastAsia="仿宋_GB2312" w:hAnsi="Times New Roman" w:cstheme="minorBidi" w:hint="eastAsia"/>
          <w:sz w:val="32"/>
          <w:szCs w:val="22"/>
        </w:rPr>
        <w:t>健全专业高效的专家支持机制。</w:t>
      </w:r>
    </w:p>
    <w:p w:rsidR="00E51332" w:rsidRDefault="00B767C7">
      <w:pPr>
        <w:ind w:firstLine="643"/>
      </w:pPr>
      <w:r>
        <w:rPr>
          <w:rFonts w:hint="eastAsia"/>
          <w:b/>
          <w:bCs/>
        </w:rPr>
        <w:t>强化专家委员会决策支撑能力</w:t>
      </w:r>
      <w:r>
        <w:rPr>
          <w:rFonts w:hint="eastAsia"/>
        </w:rPr>
        <w:t>。加强专家库力量，提升对</w:t>
      </w:r>
      <w:proofErr w:type="gramStart"/>
      <w:r>
        <w:rPr>
          <w:rFonts w:hint="eastAsia"/>
        </w:rPr>
        <w:t>市数字</w:t>
      </w:r>
      <w:proofErr w:type="gramEnd"/>
      <w:r>
        <w:rPr>
          <w:rFonts w:hint="eastAsia"/>
        </w:rPr>
        <w:t>政府改革建设工作智库支撑服务团队，推动专家决策支撑由项目前期向全过程深入，加强项目建设指导。建立包括非盈利第三方研究机构、科研院所、专业咨询、监理和</w:t>
      </w:r>
      <w:r>
        <w:rPr>
          <w:rFonts w:hint="eastAsia"/>
        </w:rPr>
        <w:lastRenderedPageBreak/>
        <w:t>测评企业等在内的数字政府专业智库咨询体系。统筹推进数字政府改革建设的前瞻理论、政策机制、评估监测等专业研究咨询。加强信息化项目全生命周期的咨询设计、建设管理及成果评价，强化评价结果在数字政府项目申报立项决策中的运用，有效提高项目效益。</w:t>
      </w:r>
    </w:p>
    <w:p w:rsidR="00E51332" w:rsidRDefault="00B767C7">
      <w:pPr>
        <w:ind w:firstLine="643"/>
      </w:pPr>
      <w:proofErr w:type="gramStart"/>
      <w:r>
        <w:rPr>
          <w:rFonts w:hint="eastAsia"/>
          <w:b/>
          <w:bCs/>
        </w:rPr>
        <w:t>完善第三方专业</w:t>
      </w:r>
      <w:proofErr w:type="gramEnd"/>
      <w:r>
        <w:rPr>
          <w:rFonts w:hint="eastAsia"/>
          <w:b/>
          <w:bCs/>
        </w:rPr>
        <w:t>服务能力</w:t>
      </w:r>
      <w:r>
        <w:rPr>
          <w:rFonts w:hint="eastAsia"/>
        </w:rPr>
        <w:t>。建立规划在前、业务为先的信息化建设模式，加强系统性设计、顶层设计，有效加强全市各级各部门业务、信息化建设统筹的关联性。加强单项项目或任务的设计，加强项目建设的成效。引入第三方机构定期对数字政府绩效评价、政事企合作等内容进行评估，加强考核督查结果运用，强化激励与问责。</w:t>
      </w:r>
    </w:p>
    <w:p w:rsidR="00E51332" w:rsidRDefault="00B767C7">
      <w:pPr>
        <w:pStyle w:val="4"/>
        <w:numPr>
          <w:ilvl w:val="0"/>
          <w:numId w:val="5"/>
        </w:numPr>
        <w:snapToGrid w:val="0"/>
        <w:spacing w:before="240" w:after="120" w:line="240" w:lineRule="auto"/>
        <w:ind w:firstLineChars="0"/>
        <w:rPr>
          <w:rFonts w:ascii="Times New Roman" w:eastAsia="仿宋_GB2312" w:hAnsi="Times New Roman" w:cstheme="minorBidi"/>
          <w:sz w:val="32"/>
          <w:szCs w:val="22"/>
        </w:rPr>
      </w:pPr>
      <w:r>
        <w:rPr>
          <w:rFonts w:ascii="Times New Roman" w:eastAsia="仿宋_GB2312" w:hAnsi="Times New Roman" w:cstheme="minorBidi" w:hint="eastAsia"/>
          <w:sz w:val="32"/>
          <w:szCs w:val="22"/>
        </w:rPr>
        <w:t>实施上下衔接的标准规范体系。</w:t>
      </w:r>
    </w:p>
    <w:p w:rsidR="00E51332" w:rsidRDefault="00B767C7">
      <w:pPr>
        <w:ind w:firstLine="643"/>
      </w:pPr>
      <w:r>
        <w:rPr>
          <w:rFonts w:hint="eastAsia"/>
          <w:b/>
          <w:bCs/>
        </w:rPr>
        <w:t>建立标准化工作机制。</w:t>
      </w:r>
      <w:r>
        <w:rPr>
          <w:rFonts w:hint="eastAsia"/>
        </w:rPr>
        <w:t>统筹推进江门市数字政府改革建设标准化工作，协调处理标准制定、修订和应用实施过程中的重大问题，督促检查数字政府标准化工作的落实。引入专家库和专业团队参与研究标准体系框架，</w:t>
      </w:r>
      <w:proofErr w:type="gramStart"/>
      <w:r>
        <w:rPr>
          <w:rFonts w:hint="eastAsia"/>
        </w:rPr>
        <w:t>提供市数字</w:t>
      </w:r>
      <w:proofErr w:type="gramEnd"/>
      <w:r>
        <w:rPr>
          <w:rFonts w:hint="eastAsia"/>
        </w:rPr>
        <w:t>政府改革建设标准化工作专业咨询，提出对重大问题的建议和解决方案。制定数字政府标准化工作管理办法，提高标准制定工作的公开性和透明度，保证标准内容的科学性和公正性。优化标准审批流程，落实标准复审要求，缩短标准制定周期，加快标准更新速度。</w:t>
      </w:r>
    </w:p>
    <w:p w:rsidR="00E51332" w:rsidRDefault="00B767C7">
      <w:pPr>
        <w:ind w:firstLine="643"/>
      </w:pPr>
      <w:r>
        <w:rPr>
          <w:rFonts w:hint="eastAsia"/>
          <w:b/>
          <w:bCs/>
        </w:rPr>
        <w:t>加强统一标准规范建设。</w:t>
      </w:r>
      <w:r>
        <w:rPr>
          <w:rFonts w:hint="eastAsia"/>
        </w:rPr>
        <w:t>统筹推进江门市数字政府改革</w:t>
      </w:r>
      <w:r>
        <w:rPr>
          <w:rFonts w:hint="eastAsia"/>
        </w:rPr>
        <w:lastRenderedPageBreak/>
        <w:t>建设标准化工作，督促检查数字政府标准化工作的落实，建立</w:t>
      </w:r>
      <w:proofErr w:type="gramStart"/>
      <w:r>
        <w:rPr>
          <w:rFonts w:hint="eastAsia"/>
        </w:rPr>
        <w:t>完善江</w:t>
      </w:r>
      <w:proofErr w:type="gramEnd"/>
      <w:r>
        <w:rPr>
          <w:rFonts w:hint="eastAsia"/>
        </w:rPr>
        <w:t>门市数字政府数据、应用、运营、安全、管理等标准规范。基于</w:t>
      </w:r>
      <w:proofErr w:type="gramStart"/>
      <w:r>
        <w:rPr>
          <w:rFonts w:hint="eastAsia"/>
        </w:rPr>
        <w:t>省数字</w:t>
      </w:r>
      <w:proofErr w:type="gramEnd"/>
      <w:r>
        <w:rPr>
          <w:rFonts w:hint="eastAsia"/>
        </w:rPr>
        <w:t>政府现有标准规范，完善数据交换信息规范、政务信息资源目录标准规范、政务信息资源共享标准规范、电子证照数据与共享服务规范、政务服务业务规范、统一身份认证技术规范、政务服务事项梳理规范等标准。建立健全大数据制度体系，规范数据采集、流通与使用，构建完善大数据技术标准体系，制定数据采集、管理、开放、应用等标准规范。</w:t>
      </w:r>
    </w:p>
    <w:p w:rsidR="00E51332" w:rsidRDefault="00B767C7">
      <w:pPr>
        <w:ind w:firstLine="643"/>
      </w:pPr>
      <w:r>
        <w:rPr>
          <w:rFonts w:hint="eastAsia"/>
          <w:b/>
          <w:bCs/>
        </w:rPr>
        <w:t>加强标准规范实施和监督</w:t>
      </w:r>
      <w:r>
        <w:rPr>
          <w:rFonts w:hint="eastAsia"/>
        </w:rPr>
        <w:t>。出台标准实施方案和释义，组织好标准宣传推广工作。规范标准解释权限管理，健全标准解释机制。加大标准符合性审查力度，定期对已建及在建的数字政府项目开展标准符合性审查，对标准化建设不合格的项目开展重点监督，全面推进数字政府标准化建设。推动参与数字政府改革建设的企业建立数字政府标准自我声明公开的监督机制，保障标准公开内容真实有效。</w:t>
      </w:r>
    </w:p>
    <w:tbl>
      <w:tblPr>
        <w:tblW w:w="829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296"/>
      </w:tblGrid>
      <w:tr w:rsidR="00E51332">
        <w:tc>
          <w:tcPr>
            <w:tcW w:w="8296" w:type="dxa"/>
          </w:tcPr>
          <w:p w:rsidR="00E51332" w:rsidRDefault="00B767C7">
            <w:pPr>
              <w:spacing w:line="360" w:lineRule="auto"/>
              <w:ind w:firstLine="560"/>
              <w:jc w:val="center"/>
              <w:rPr>
                <w:rFonts w:eastAsia="黑体"/>
                <w:sz w:val="28"/>
              </w:rPr>
            </w:pPr>
            <w:r>
              <w:rPr>
                <w:rFonts w:eastAsia="黑体"/>
                <w:sz w:val="28"/>
              </w:rPr>
              <w:t>专栏</w:t>
            </w:r>
            <w:r>
              <w:rPr>
                <w:rFonts w:eastAsia="黑体"/>
                <w:sz w:val="28"/>
              </w:rPr>
              <w:t xml:space="preserve"> 2</w:t>
            </w:r>
            <w:r>
              <w:rPr>
                <w:rFonts w:eastAsia="黑体" w:hint="eastAsia"/>
                <w:sz w:val="28"/>
              </w:rPr>
              <w:t>1</w:t>
            </w:r>
            <w:r>
              <w:rPr>
                <w:rFonts w:eastAsia="黑体"/>
                <w:sz w:val="28"/>
              </w:rPr>
              <w:t xml:space="preserve"> </w:t>
            </w:r>
            <w:r>
              <w:rPr>
                <w:rFonts w:eastAsia="黑体"/>
                <w:sz w:val="28"/>
              </w:rPr>
              <w:t>标准规范建设工程</w:t>
            </w:r>
          </w:p>
        </w:tc>
      </w:tr>
      <w:tr w:rsidR="00E51332">
        <w:tc>
          <w:tcPr>
            <w:tcW w:w="8296" w:type="dxa"/>
          </w:tcPr>
          <w:p w:rsidR="00E51332" w:rsidRDefault="00B767C7" w:rsidP="002B59AE">
            <w:pPr>
              <w:snapToGrid w:val="0"/>
              <w:spacing w:line="480" w:lineRule="exact"/>
              <w:ind w:firstLine="560"/>
              <w:rPr>
                <w:rFonts w:eastAsia="宋体"/>
                <w:sz w:val="28"/>
              </w:rPr>
            </w:pPr>
            <w:r>
              <w:rPr>
                <w:rFonts w:eastAsia="楷体_GB2312" w:hint="eastAsia"/>
                <w:sz w:val="28"/>
              </w:rPr>
              <w:t>完善数字政府项目管理平台。</w:t>
            </w:r>
            <w:r>
              <w:rPr>
                <w:rFonts w:ascii="仿宋_GB2312" w:hint="eastAsia"/>
                <w:sz w:val="28"/>
              </w:rPr>
              <w:t>完善全市统一的信息化项目管理平台，强化对政务信息化项目的全生命周期管理，</w:t>
            </w:r>
            <w:proofErr w:type="gramStart"/>
            <w:r>
              <w:rPr>
                <w:rFonts w:ascii="仿宋_GB2312" w:hint="eastAsia"/>
                <w:sz w:val="28"/>
              </w:rPr>
              <w:t>保障市</w:t>
            </w:r>
            <w:proofErr w:type="gramEnd"/>
            <w:r>
              <w:rPr>
                <w:rFonts w:ascii="仿宋_GB2312" w:hint="eastAsia"/>
                <w:sz w:val="28"/>
              </w:rPr>
              <w:t>政务信息化服务项目的统一性、整合性，提高项目建设质量和管理水平。</w:t>
            </w:r>
          </w:p>
        </w:tc>
      </w:tr>
    </w:tbl>
    <w:p w:rsidR="00E51332" w:rsidRDefault="00B767C7">
      <w:pPr>
        <w:pStyle w:val="1"/>
      </w:pPr>
      <w:bookmarkStart w:id="94" w:name="_Toc66093962"/>
      <w:bookmarkStart w:id="95" w:name="_Toc64903400"/>
      <w:r>
        <w:rPr>
          <w:rFonts w:hint="eastAsia"/>
        </w:rPr>
        <w:t>保障措施</w:t>
      </w:r>
      <w:bookmarkEnd w:id="94"/>
      <w:bookmarkEnd w:id="95"/>
    </w:p>
    <w:p w:rsidR="00E51332" w:rsidRDefault="00B767C7">
      <w:pPr>
        <w:pStyle w:val="2"/>
        <w:spacing w:before="156" w:after="156"/>
        <w:ind w:firstLine="643"/>
      </w:pPr>
      <w:bookmarkStart w:id="96" w:name="_Toc64903401"/>
      <w:bookmarkStart w:id="97" w:name="_Toc66093963"/>
      <w:r>
        <w:rPr>
          <w:rFonts w:hint="eastAsia"/>
        </w:rPr>
        <w:t>加强组织领导，健全统筹协调机制。</w:t>
      </w:r>
      <w:bookmarkEnd w:id="96"/>
      <w:bookmarkEnd w:id="97"/>
    </w:p>
    <w:p w:rsidR="00E51332" w:rsidRDefault="00B767C7">
      <w:pPr>
        <w:ind w:firstLine="640"/>
      </w:pPr>
      <w:r>
        <w:rPr>
          <w:rFonts w:hint="eastAsia"/>
        </w:rPr>
        <w:t>在市委、市政府的统一领导下，市政务服务数据管理局</w:t>
      </w:r>
      <w:r>
        <w:rPr>
          <w:rFonts w:hint="eastAsia"/>
        </w:rPr>
        <w:lastRenderedPageBreak/>
        <w:t>牵头建立</w:t>
      </w:r>
      <w:proofErr w:type="gramStart"/>
      <w:r>
        <w:rPr>
          <w:rFonts w:hint="eastAsia"/>
        </w:rPr>
        <w:t>市数字</w:t>
      </w:r>
      <w:proofErr w:type="gramEnd"/>
      <w:r>
        <w:rPr>
          <w:rFonts w:hint="eastAsia"/>
        </w:rPr>
        <w:t>政府建设联动协调衔接机制，按照统分结合建设模式，明确建设目标、工作任务和实施计划，统筹推进</w:t>
      </w:r>
      <w:proofErr w:type="gramStart"/>
      <w:r>
        <w:rPr>
          <w:rFonts w:hint="eastAsia"/>
        </w:rPr>
        <w:t>市数字</w:t>
      </w:r>
      <w:proofErr w:type="gramEnd"/>
      <w:r>
        <w:rPr>
          <w:rFonts w:hint="eastAsia"/>
        </w:rPr>
        <w:t>政府建设工作。加强制度建设，建立</w:t>
      </w:r>
      <w:proofErr w:type="gramStart"/>
      <w:r>
        <w:rPr>
          <w:rFonts w:hint="eastAsia"/>
        </w:rPr>
        <w:t>市数字</w:t>
      </w:r>
      <w:proofErr w:type="gramEnd"/>
      <w:r>
        <w:rPr>
          <w:rFonts w:hint="eastAsia"/>
        </w:rPr>
        <w:t>政府建设督查评估机制，将相关工作任务列入重点督查事项，充分发挥督查评估的导向作用，有效推动各项改革建设工作。强化创新保障，全市各地各部门应基于</w:t>
      </w:r>
      <w:proofErr w:type="gramStart"/>
      <w:r>
        <w:rPr>
          <w:rFonts w:hint="eastAsia"/>
        </w:rPr>
        <w:t>市数字</w:t>
      </w:r>
      <w:proofErr w:type="gramEnd"/>
      <w:r>
        <w:rPr>
          <w:rFonts w:hint="eastAsia"/>
        </w:rPr>
        <w:t>政府改革建设总体要求，从整体化出发，加强业务优化和流程再造，推动制度创新、业务创新和模式创新，构建高效协同治理体系，切实推动信息化与业务的融合创新。</w:t>
      </w:r>
    </w:p>
    <w:p w:rsidR="00E51332" w:rsidRDefault="00B767C7">
      <w:pPr>
        <w:pStyle w:val="2"/>
        <w:spacing w:before="156" w:after="156"/>
        <w:ind w:firstLine="643"/>
      </w:pPr>
      <w:bookmarkStart w:id="98" w:name="_Toc66093964"/>
      <w:bookmarkStart w:id="99" w:name="_Toc64903402"/>
      <w:r>
        <w:rPr>
          <w:rFonts w:hint="eastAsia"/>
        </w:rPr>
        <w:t>强化监督管理，落实建设任务责任。</w:t>
      </w:r>
      <w:bookmarkEnd w:id="98"/>
      <w:bookmarkEnd w:id="99"/>
    </w:p>
    <w:p w:rsidR="00E51332" w:rsidRDefault="00B767C7">
      <w:pPr>
        <w:ind w:firstLine="640"/>
      </w:pPr>
      <w:r>
        <w:rPr>
          <w:rFonts w:hint="eastAsia"/>
        </w:rPr>
        <w:t>建立数字政府建设任务指标考评机制，工作成效纳入各市（区）和市直相关单位绩效考核和领导班子考核内容。加大督促检查力度，建立动态通报、容错纠错机制，加强正向激励，督促各地“比学赶超”。健全政府与企业、市民的信息沟通和交流机制，拓宽公众参与渠道，及时公开实施情况，提高实施规划的透明度和公众参与程度。</w:t>
      </w:r>
    </w:p>
    <w:p w:rsidR="00E51332" w:rsidRDefault="00B767C7">
      <w:pPr>
        <w:pStyle w:val="2"/>
        <w:spacing w:before="156" w:after="156"/>
        <w:ind w:firstLine="643"/>
      </w:pPr>
      <w:bookmarkStart w:id="100" w:name="_Toc64903403"/>
      <w:bookmarkStart w:id="101" w:name="_Toc66093965"/>
      <w:r>
        <w:rPr>
          <w:rFonts w:hint="eastAsia"/>
        </w:rPr>
        <w:t>强化资金保障，完善资金管理体系。</w:t>
      </w:r>
      <w:bookmarkEnd w:id="100"/>
      <w:bookmarkEnd w:id="101"/>
    </w:p>
    <w:p w:rsidR="00E51332" w:rsidRDefault="00B767C7">
      <w:pPr>
        <w:ind w:firstLine="640"/>
      </w:pPr>
      <w:r>
        <w:rPr>
          <w:rFonts w:hint="eastAsia"/>
        </w:rPr>
        <w:t>结合</w:t>
      </w:r>
      <w:proofErr w:type="gramStart"/>
      <w:r>
        <w:rPr>
          <w:rFonts w:hint="eastAsia"/>
        </w:rPr>
        <w:t>省数字</w:t>
      </w:r>
      <w:proofErr w:type="gramEnd"/>
      <w:r>
        <w:rPr>
          <w:rFonts w:hint="eastAsia"/>
        </w:rPr>
        <w:t>政府改革等试点工作，积极争取国家、省、市的资金和建设支持，多渠道强化资金保障。加大资金统筹管理力度，结合省支撑的扶持资金，统筹将建设、运行等服务费用纳入同级财政部门预算。探索完善</w:t>
      </w:r>
      <w:proofErr w:type="gramStart"/>
      <w:r>
        <w:rPr>
          <w:rFonts w:hint="eastAsia"/>
        </w:rPr>
        <w:t>市数字</w:t>
      </w:r>
      <w:proofErr w:type="gramEnd"/>
      <w:r>
        <w:rPr>
          <w:rFonts w:hint="eastAsia"/>
        </w:rPr>
        <w:t>政府建设资金管理办法，完善资金管理制度。明确运行维护经费的资金</w:t>
      </w:r>
      <w:r>
        <w:rPr>
          <w:rFonts w:hint="eastAsia"/>
        </w:rPr>
        <w:lastRenderedPageBreak/>
        <w:t>预算和使用计划，支撑项目可持续运营、发展。以购买服务的模式，有序引导社会力量参与</w:t>
      </w:r>
      <w:proofErr w:type="gramStart"/>
      <w:r>
        <w:rPr>
          <w:rFonts w:hint="eastAsia"/>
        </w:rPr>
        <w:t>市数字</w:t>
      </w:r>
      <w:proofErr w:type="gramEnd"/>
      <w:r>
        <w:rPr>
          <w:rFonts w:hint="eastAsia"/>
        </w:rPr>
        <w:t>政府改革建设服务供给，通过公平竞争、择优选择的方式确定政府购买服务的承接主体，承担建设、运营、维护等工作任务，推动政府治理创新，促进管理和服务效能提升。</w:t>
      </w:r>
    </w:p>
    <w:p w:rsidR="00E51332" w:rsidRDefault="00B767C7">
      <w:pPr>
        <w:pStyle w:val="2"/>
        <w:spacing w:before="156" w:after="156"/>
        <w:ind w:firstLine="643"/>
      </w:pPr>
      <w:bookmarkStart w:id="102" w:name="_Toc64903404"/>
      <w:bookmarkStart w:id="103" w:name="_Toc66093966"/>
      <w:r>
        <w:rPr>
          <w:rFonts w:hint="eastAsia"/>
        </w:rPr>
        <w:t>完善人才机制，培育人才创新土壤。</w:t>
      </w:r>
      <w:bookmarkEnd w:id="102"/>
      <w:bookmarkEnd w:id="103"/>
    </w:p>
    <w:p w:rsidR="00E51332" w:rsidRDefault="00B767C7">
      <w:pPr>
        <w:ind w:firstLine="640"/>
      </w:pPr>
      <w:r>
        <w:rPr>
          <w:rFonts w:hint="eastAsia"/>
        </w:rPr>
        <w:t>加强数字政府人才队伍建设，将数字政府改革建设列入我市领导干部和各级政府机关工作人员学习培训内容，建立普及性与针对性相结合的培训机制，积极培养既精通政府业务又能运用新一代信息技术开展工作的综合型人才。通过产业合作、高端交流等方式，吸引全国人才为江门市数字政府建设服务。利用合作办学模式，支持本地学校开设数字政府相关学科，培育本地人才。构建与数字经济创新发展相适应的人才工作体系，建立以能力贡献为导向的人才激励机制，提供一站式的人才配套服务保障，完善人才创新创业创富环境。</w:t>
      </w:r>
    </w:p>
    <w:p w:rsidR="00E51332" w:rsidRDefault="00B767C7">
      <w:pPr>
        <w:pStyle w:val="2"/>
        <w:spacing w:before="156" w:after="156"/>
        <w:ind w:firstLine="643"/>
      </w:pPr>
      <w:bookmarkStart w:id="104" w:name="_Toc66093967"/>
      <w:bookmarkStart w:id="105" w:name="_Toc64903405"/>
      <w:r>
        <w:rPr>
          <w:rFonts w:hint="eastAsia"/>
        </w:rPr>
        <w:t>加强技术支撑，打造政企共建生态。</w:t>
      </w:r>
      <w:bookmarkEnd w:id="104"/>
      <w:bookmarkEnd w:id="105"/>
    </w:p>
    <w:p w:rsidR="00E51332" w:rsidRDefault="00B767C7">
      <w:pPr>
        <w:ind w:firstLine="640"/>
      </w:pPr>
      <w:proofErr w:type="gramStart"/>
      <w:r>
        <w:rPr>
          <w:rFonts w:hint="eastAsia"/>
        </w:rPr>
        <w:t>依托国</w:t>
      </w:r>
      <w:proofErr w:type="gramEnd"/>
      <w:r>
        <w:rPr>
          <w:rFonts w:hint="eastAsia"/>
        </w:rPr>
        <w:t>资力量，整合市直各部门、三大运营商及其他优秀信息技术公司信息化工作人员，选优</w:t>
      </w:r>
      <w:proofErr w:type="gramStart"/>
      <w:r>
        <w:rPr>
          <w:rFonts w:hint="eastAsia"/>
        </w:rPr>
        <w:t>配强既了解</w:t>
      </w:r>
      <w:proofErr w:type="gramEnd"/>
      <w:r>
        <w:rPr>
          <w:rFonts w:hint="eastAsia"/>
        </w:rPr>
        <w:t>信息技术又理解数字政府建设的专业技术人员，不断补充完善政府领导下的数字政府建设运营队伍，全面推进技术与业务的融合，增强数字政府建设运营中心的技术支撑能力。打造数字政府</w:t>
      </w:r>
      <w:r>
        <w:rPr>
          <w:rFonts w:hint="eastAsia"/>
        </w:rPr>
        <w:lastRenderedPageBreak/>
        <w:t>生态圈，充分发挥优秀企业在数字政府建设中的作用，有效整合产业链上各个方面的力量，为数字政府建设、运行提供长期稳定的服务和支撑。建立相应的开发利用激励机制，鼓励广州、深圳等一线互联网龙头企业在江门布局互联网、大数据、云计算、人工智能、区块链、</w:t>
      </w:r>
      <w:r>
        <w:rPr>
          <w:rFonts w:hint="eastAsia"/>
        </w:rPr>
        <w:t>5G</w:t>
      </w:r>
      <w:r>
        <w:rPr>
          <w:rFonts w:hint="eastAsia"/>
        </w:rPr>
        <w:t>等项目，加强对大数据、区块链、分布式计算等新技术应用研究，加强江门互联网专业技术储备。</w:t>
      </w:r>
    </w:p>
    <w:p w:rsidR="00E51332" w:rsidRDefault="00B767C7">
      <w:pPr>
        <w:pStyle w:val="2"/>
        <w:spacing w:before="156" w:after="156"/>
        <w:ind w:firstLine="643"/>
      </w:pPr>
      <w:bookmarkStart w:id="106" w:name="_Toc64903406"/>
      <w:bookmarkStart w:id="107" w:name="_Toc66093968"/>
      <w:r>
        <w:rPr>
          <w:rFonts w:hint="eastAsia"/>
        </w:rPr>
        <w:t>加强宣传推广，营造良好建设氛围。</w:t>
      </w:r>
      <w:bookmarkEnd w:id="106"/>
      <w:bookmarkEnd w:id="107"/>
    </w:p>
    <w:bookmarkEnd w:id="93"/>
    <w:p w:rsidR="00E51332" w:rsidRDefault="00B767C7">
      <w:pPr>
        <w:ind w:firstLine="640"/>
        <w:sectPr w:rsidR="00E51332">
          <w:pgSz w:w="11906" w:h="16838"/>
          <w:pgMar w:top="1440" w:right="1800" w:bottom="1440" w:left="1800" w:header="851" w:footer="992" w:gutter="0"/>
          <w:pgNumType w:start="1"/>
          <w:cols w:space="425"/>
          <w:docGrid w:type="lines" w:linePitch="312"/>
        </w:sectPr>
      </w:pPr>
      <w:r>
        <w:rPr>
          <w:rFonts w:hint="eastAsia"/>
        </w:rPr>
        <w:t>积极运用传统媒体和网络媒体等多种宣传手段，多渠道加大宣传报道，促进全社会广泛参与，汇聚各方合力共同推进</w:t>
      </w:r>
      <w:proofErr w:type="gramStart"/>
      <w:r>
        <w:rPr>
          <w:rFonts w:hint="eastAsia"/>
        </w:rPr>
        <w:t>市数字</w:t>
      </w:r>
      <w:proofErr w:type="gramEnd"/>
      <w:r>
        <w:rPr>
          <w:rFonts w:hint="eastAsia"/>
        </w:rPr>
        <w:t>政府改革建设。充分利用线上线下多种宣传渠道，加强数字政府相关知识、建设效果的宣传推广与普及工作，增强社会认知度、认可度和参与度。积极参与或组织具有影响力的数字政府及互联网产业峰会论坛，宣传推广</w:t>
      </w:r>
      <w:proofErr w:type="gramStart"/>
      <w:r>
        <w:rPr>
          <w:rFonts w:hint="eastAsia"/>
        </w:rPr>
        <w:t>市数字</w:t>
      </w:r>
      <w:proofErr w:type="gramEnd"/>
      <w:r>
        <w:rPr>
          <w:rFonts w:hint="eastAsia"/>
        </w:rPr>
        <w:t>政府改革建设成果，提升公众对数字政府改革建设的参与度和获得感。</w:t>
      </w:r>
    </w:p>
    <w:p w:rsidR="00E51332" w:rsidRDefault="00B767C7">
      <w:pPr>
        <w:pStyle w:val="1"/>
        <w:numPr>
          <w:ilvl w:val="0"/>
          <w:numId w:val="0"/>
        </w:numPr>
        <w:ind w:firstLine="640"/>
      </w:pPr>
      <w:bookmarkStart w:id="108" w:name="_Toc66093969"/>
      <w:bookmarkStart w:id="109" w:name="_Toc64903407"/>
      <w:r>
        <w:rPr>
          <w:rFonts w:hint="eastAsia"/>
        </w:rPr>
        <w:lastRenderedPageBreak/>
        <w:t>附件：</w:t>
      </w:r>
      <w:bookmarkEnd w:id="108"/>
      <w:bookmarkEnd w:id="109"/>
    </w:p>
    <w:p w:rsidR="00E51332" w:rsidRDefault="00B767C7">
      <w:pPr>
        <w:ind w:firstLine="720"/>
        <w:jc w:val="center"/>
        <w:rPr>
          <w:rFonts w:ascii="方正大标宋_GBK" w:eastAsia="方正大标宋_GBK" w:hAnsi="黑体"/>
          <w:sz w:val="36"/>
          <w:szCs w:val="36"/>
        </w:rPr>
      </w:pPr>
      <w:r>
        <w:rPr>
          <w:rFonts w:ascii="方正大标宋_GBK" w:eastAsia="方正大标宋_GBK" w:hAnsi="黑体" w:hint="eastAsia"/>
          <w:sz w:val="36"/>
          <w:szCs w:val="36"/>
        </w:rPr>
        <w:t>江门市数字政府改革建设“十四五”</w:t>
      </w:r>
    </w:p>
    <w:p w:rsidR="00E51332" w:rsidRDefault="00B767C7">
      <w:pPr>
        <w:ind w:firstLine="720"/>
        <w:jc w:val="center"/>
        <w:rPr>
          <w:rFonts w:ascii="方正大标宋_GBK" w:eastAsia="方正大标宋_GBK" w:hAnsi="黑体"/>
          <w:sz w:val="36"/>
          <w:szCs w:val="36"/>
        </w:rPr>
      </w:pPr>
      <w:r>
        <w:rPr>
          <w:rFonts w:ascii="方正大标宋_GBK" w:eastAsia="方正大标宋_GBK" w:hAnsi="黑体" w:hint="eastAsia"/>
          <w:sz w:val="36"/>
          <w:szCs w:val="36"/>
        </w:rPr>
        <w:t>指标编制说明</w:t>
      </w:r>
    </w:p>
    <w:p w:rsidR="00E51332" w:rsidRDefault="00E51332">
      <w:pPr>
        <w:ind w:firstLine="720"/>
        <w:jc w:val="center"/>
        <w:rPr>
          <w:rFonts w:ascii="方正大标宋_GBK" w:eastAsia="方正大标宋_GBK" w:hAnsi="黑体"/>
          <w:sz w:val="36"/>
          <w:szCs w:val="36"/>
        </w:rPr>
      </w:pPr>
    </w:p>
    <w:tbl>
      <w:tblPr>
        <w:tblW w:w="841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14"/>
        <w:gridCol w:w="1167"/>
        <w:gridCol w:w="3094"/>
        <w:gridCol w:w="3444"/>
      </w:tblGrid>
      <w:tr w:rsidR="00E51332">
        <w:trPr>
          <w:trHeight w:val="397"/>
          <w:tblHeader/>
        </w:trPr>
        <w:tc>
          <w:tcPr>
            <w:tcW w:w="714" w:type="dxa"/>
            <w:shd w:val="clear" w:color="000000" w:fill="E7E6E6"/>
            <w:tcMar>
              <w:left w:w="0" w:type="dxa"/>
              <w:right w:w="0" w:type="dxa"/>
            </w:tcMar>
            <w:vAlign w:val="center"/>
          </w:tcPr>
          <w:p w:rsidR="00E51332" w:rsidRDefault="00B767C7">
            <w:pPr>
              <w:widowControl/>
              <w:snapToGrid w:val="0"/>
              <w:spacing w:line="276" w:lineRule="auto"/>
              <w:ind w:firstLineChars="0" w:firstLine="0"/>
              <w:jc w:val="center"/>
              <w:rPr>
                <w:rFonts w:ascii="仿宋_GB2312"/>
                <w:b/>
                <w:bCs/>
                <w:kern w:val="0"/>
                <w:sz w:val="28"/>
              </w:rPr>
            </w:pPr>
            <w:r>
              <w:rPr>
                <w:rFonts w:ascii="仿宋_GB2312" w:hint="eastAsia"/>
                <w:b/>
                <w:bCs/>
                <w:kern w:val="0"/>
                <w:sz w:val="28"/>
              </w:rPr>
              <w:t>序号</w:t>
            </w:r>
          </w:p>
        </w:tc>
        <w:tc>
          <w:tcPr>
            <w:tcW w:w="1167" w:type="dxa"/>
            <w:shd w:val="clear" w:color="000000" w:fill="E7E6E6"/>
            <w:tcMar>
              <w:left w:w="0" w:type="dxa"/>
              <w:right w:w="0" w:type="dxa"/>
            </w:tcMar>
            <w:vAlign w:val="center"/>
          </w:tcPr>
          <w:p w:rsidR="00E51332" w:rsidRDefault="00B767C7">
            <w:pPr>
              <w:widowControl/>
              <w:snapToGrid w:val="0"/>
              <w:spacing w:line="276" w:lineRule="auto"/>
              <w:ind w:firstLineChars="0" w:firstLine="0"/>
              <w:jc w:val="center"/>
              <w:rPr>
                <w:rFonts w:ascii="仿宋_GB2312"/>
                <w:b/>
                <w:bCs/>
                <w:kern w:val="0"/>
                <w:sz w:val="28"/>
              </w:rPr>
            </w:pPr>
            <w:r>
              <w:rPr>
                <w:rFonts w:ascii="仿宋_GB2312" w:hint="eastAsia"/>
                <w:b/>
                <w:bCs/>
                <w:kern w:val="0"/>
                <w:sz w:val="28"/>
              </w:rPr>
              <w:t>类别</w:t>
            </w:r>
          </w:p>
        </w:tc>
        <w:tc>
          <w:tcPr>
            <w:tcW w:w="3094" w:type="dxa"/>
            <w:shd w:val="clear" w:color="000000" w:fill="E7E6E6"/>
            <w:tcMar>
              <w:left w:w="0" w:type="dxa"/>
              <w:right w:w="0" w:type="dxa"/>
            </w:tcMar>
            <w:vAlign w:val="center"/>
          </w:tcPr>
          <w:p w:rsidR="00E51332" w:rsidRDefault="00B767C7">
            <w:pPr>
              <w:widowControl/>
              <w:snapToGrid w:val="0"/>
              <w:spacing w:line="276" w:lineRule="auto"/>
              <w:ind w:firstLineChars="0" w:firstLine="0"/>
              <w:jc w:val="center"/>
              <w:rPr>
                <w:rFonts w:ascii="仿宋_GB2312"/>
                <w:b/>
                <w:bCs/>
                <w:kern w:val="0"/>
                <w:sz w:val="28"/>
              </w:rPr>
            </w:pPr>
            <w:r>
              <w:rPr>
                <w:rFonts w:ascii="仿宋_GB2312" w:hint="eastAsia"/>
                <w:b/>
                <w:bCs/>
                <w:kern w:val="0"/>
                <w:sz w:val="28"/>
              </w:rPr>
              <w:t>主要指标</w:t>
            </w:r>
          </w:p>
        </w:tc>
        <w:tc>
          <w:tcPr>
            <w:tcW w:w="3444" w:type="dxa"/>
            <w:shd w:val="clear" w:color="000000" w:fill="E7E6E6"/>
            <w:vAlign w:val="center"/>
          </w:tcPr>
          <w:p w:rsidR="00E51332" w:rsidRDefault="00B767C7">
            <w:pPr>
              <w:widowControl/>
              <w:snapToGrid w:val="0"/>
              <w:spacing w:line="276" w:lineRule="auto"/>
              <w:ind w:firstLineChars="0" w:firstLine="0"/>
              <w:jc w:val="center"/>
              <w:rPr>
                <w:rFonts w:ascii="仿宋_GB2312"/>
                <w:b/>
                <w:bCs/>
                <w:kern w:val="0"/>
                <w:sz w:val="28"/>
              </w:rPr>
            </w:pPr>
            <w:r>
              <w:rPr>
                <w:rFonts w:ascii="仿宋_GB2312" w:hint="eastAsia"/>
                <w:b/>
                <w:bCs/>
                <w:kern w:val="0"/>
                <w:sz w:val="28"/>
              </w:rPr>
              <w:t>指标计算方法</w:t>
            </w:r>
          </w:p>
        </w:tc>
      </w:tr>
      <w:tr w:rsidR="00E51332">
        <w:trPr>
          <w:trHeight w:val="397"/>
        </w:trPr>
        <w:tc>
          <w:tcPr>
            <w:tcW w:w="714" w:type="dxa"/>
            <w:shd w:val="clear" w:color="auto" w:fill="auto"/>
            <w:tcMar>
              <w:left w:w="0" w:type="dxa"/>
              <w:right w:w="0" w:type="dxa"/>
            </w:tcMar>
            <w:vAlign w:val="center"/>
          </w:tcPr>
          <w:p w:rsidR="00E51332" w:rsidRDefault="00E51332">
            <w:pPr>
              <w:pStyle w:val="ae"/>
              <w:widowControl/>
              <w:numPr>
                <w:ilvl w:val="0"/>
                <w:numId w:val="6"/>
              </w:numPr>
              <w:snapToGrid w:val="0"/>
              <w:spacing w:line="276" w:lineRule="auto"/>
              <w:ind w:left="0" w:firstLineChars="0" w:firstLine="0"/>
              <w:jc w:val="center"/>
              <w:rPr>
                <w:kern w:val="0"/>
                <w:sz w:val="28"/>
              </w:rPr>
            </w:pPr>
          </w:p>
        </w:tc>
        <w:tc>
          <w:tcPr>
            <w:tcW w:w="1167" w:type="dxa"/>
            <w:vMerge w:val="restart"/>
            <w:shd w:val="clear" w:color="auto" w:fill="auto"/>
            <w:tcMar>
              <w:left w:w="0" w:type="dxa"/>
              <w:right w:w="0" w:type="dxa"/>
            </w:tcMar>
            <w:vAlign w:val="center"/>
          </w:tcPr>
          <w:p w:rsidR="00E51332" w:rsidRDefault="00B767C7">
            <w:pPr>
              <w:widowControl/>
              <w:snapToGrid w:val="0"/>
              <w:spacing w:line="276" w:lineRule="auto"/>
              <w:ind w:firstLineChars="0" w:firstLine="0"/>
              <w:rPr>
                <w:rFonts w:ascii="仿宋_GB2312"/>
                <w:kern w:val="0"/>
                <w:sz w:val="28"/>
              </w:rPr>
            </w:pPr>
            <w:r>
              <w:rPr>
                <w:rFonts w:ascii="仿宋_GB2312" w:hint="eastAsia"/>
                <w:kern w:val="0"/>
                <w:sz w:val="28"/>
              </w:rPr>
              <w:t>数字化</w:t>
            </w:r>
            <w:proofErr w:type="gramStart"/>
            <w:r>
              <w:rPr>
                <w:rFonts w:ascii="仿宋_GB2312" w:hint="eastAsia"/>
                <w:kern w:val="0"/>
                <w:sz w:val="28"/>
              </w:rPr>
              <w:t>履</w:t>
            </w:r>
            <w:proofErr w:type="gramEnd"/>
            <w:r>
              <w:rPr>
                <w:rFonts w:ascii="仿宋_GB2312" w:hint="eastAsia"/>
                <w:kern w:val="0"/>
                <w:sz w:val="28"/>
              </w:rPr>
              <w:t>职能力</w:t>
            </w:r>
          </w:p>
        </w:tc>
        <w:tc>
          <w:tcPr>
            <w:tcW w:w="3094" w:type="dxa"/>
            <w:shd w:val="clear" w:color="auto" w:fill="auto"/>
            <w:tcMar>
              <w:left w:w="0" w:type="dxa"/>
              <w:right w:w="0" w:type="dxa"/>
            </w:tcMar>
            <w:vAlign w:val="center"/>
          </w:tcPr>
          <w:p w:rsidR="00E51332" w:rsidRDefault="00B767C7">
            <w:pPr>
              <w:widowControl/>
              <w:adjustRightInd w:val="0"/>
              <w:snapToGrid w:val="0"/>
              <w:spacing w:line="276" w:lineRule="auto"/>
              <w:ind w:firstLineChars="0" w:firstLine="0"/>
              <w:rPr>
                <w:rFonts w:ascii="仿宋_GB2312"/>
                <w:kern w:val="0"/>
                <w:sz w:val="28"/>
              </w:rPr>
            </w:pPr>
            <w:r>
              <w:rPr>
                <w:rFonts w:ascii="仿宋_GB2312" w:hint="eastAsia"/>
                <w:kern w:val="0"/>
                <w:sz w:val="28"/>
              </w:rPr>
              <w:t>“最多跑一次”事项覆盖率（%）</w:t>
            </w:r>
          </w:p>
        </w:tc>
        <w:tc>
          <w:tcPr>
            <w:tcW w:w="3444" w:type="dxa"/>
            <w:vAlign w:val="center"/>
          </w:tcPr>
          <w:p w:rsidR="00E51332" w:rsidRDefault="00B767C7">
            <w:pPr>
              <w:widowControl/>
              <w:adjustRightInd w:val="0"/>
              <w:snapToGrid w:val="0"/>
              <w:spacing w:line="276" w:lineRule="auto"/>
              <w:ind w:firstLineChars="0" w:firstLine="0"/>
              <w:rPr>
                <w:rFonts w:ascii="仿宋_GB2312"/>
                <w:kern w:val="0"/>
                <w:sz w:val="28"/>
              </w:rPr>
            </w:pPr>
            <w:r>
              <w:rPr>
                <w:rFonts w:ascii="仿宋_GB2312" w:hint="eastAsia"/>
                <w:color w:val="000000"/>
                <w:kern w:val="0"/>
                <w:sz w:val="28"/>
              </w:rPr>
              <w:t>省市县三级到现场办理次数小于等于一次的依申请政务服务事项数/依申请政务服务事项总数</w:t>
            </w:r>
            <w:r>
              <w:rPr>
                <w:rFonts w:ascii="仿宋" w:eastAsia="仿宋" w:hAnsi="仿宋" w:hint="eastAsia"/>
                <w:color w:val="000000"/>
                <w:kern w:val="0"/>
                <w:sz w:val="28"/>
              </w:rPr>
              <w:t>×</w:t>
            </w:r>
            <w:r>
              <w:rPr>
                <w:rFonts w:ascii="仿宋_GB2312" w:hint="eastAsia"/>
                <w:color w:val="000000"/>
                <w:kern w:val="0"/>
                <w:sz w:val="28"/>
              </w:rPr>
              <w:t>100%</w:t>
            </w:r>
          </w:p>
        </w:tc>
      </w:tr>
      <w:tr w:rsidR="00E51332">
        <w:trPr>
          <w:trHeight w:val="397"/>
        </w:trPr>
        <w:tc>
          <w:tcPr>
            <w:tcW w:w="714" w:type="dxa"/>
            <w:shd w:val="clear" w:color="auto" w:fill="FFFFFF" w:themeFill="background1"/>
            <w:tcMar>
              <w:left w:w="0" w:type="dxa"/>
              <w:right w:w="0" w:type="dxa"/>
            </w:tcMar>
            <w:vAlign w:val="center"/>
          </w:tcPr>
          <w:p w:rsidR="00E51332" w:rsidRDefault="00E51332">
            <w:pPr>
              <w:pStyle w:val="ae"/>
              <w:widowControl/>
              <w:numPr>
                <w:ilvl w:val="0"/>
                <w:numId w:val="6"/>
              </w:numPr>
              <w:snapToGrid w:val="0"/>
              <w:spacing w:line="276" w:lineRule="auto"/>
              <w:ind w:left="0" w:firstLineChars="0" w:firstLine="0"/>
              <w:jc w:val="center"/>
              <w:rPr>
                <w:kern w:val="0"/>
                <w:sz w:val="28"/>
              </w:rPr>
            </w:pPr>
          </w:p>
        </w:tc>
        <w:tc>
          <w:tcPr>
            <w:tcW w:w="1167" w:type="dxa"/>
            <w:vMerge/>
            <w:shd w:val="clear" w:color="auto" w:fill="FFFFFF" w:themeFill="background1"/>
            <w:tcMar>
              <w:left w:w="0" w:type="dxa"/>
              <w:right w:w="0" w:type="dxa"/>
            </w:tcMar>
            <w:vAlign w:val="center"/>
          </w:tcPr>
          <w:p w:rsidR="00E51332" w:rsidRDefault="00E51332">
            <w:pPr>
              <w:widowControl/>
              <w:snapToGrid w:val="0"/>
              <w:spacing w:line="276" w:lineRule="auto"/>
              <w:ind w:firstLine="560"/>
              <w:jc w:val="center"/>
              <w:rPr>
                <w:rFonts w:ascii="仿宋_GB2312"/>
                <w:kern w:val="0"/>
                <w:sz w:val="28"/>
              </w:rPr>
            </w:pPr>
          </w:p>
        </w:tc>
        <w:tc>
          <w:tcPr>
            <w:tcW w:w="3094" w:type="dxa"/>
            <w:shd w:val="clear" w:color="auto" w:fill="FFFFFF" w:themeFill="background1"/>
            <w:tcMar>
              <w:left w:w="0" w:type="dxa"/>
              <w:right w:w="0" w:type="dxa"/>
            </w:tcMar>
            <w:vAlign w:val="center"/>
          </w:tcPr>
          <w:p w:rsidR="00E51332" w:rsidRDefault="00B767C7">
            <w:pPr>
              <w:widowControl/>
              <w:adjustRightInd w:val="0"/>
              <w:snapToGrid w:val="0"/>
              <w:spacing w:line="276" w:lineRule="auto"/>
              <w:ind w:firstLineChars="0" w:firstLine="0"/>
              <w:rPr>
                <w:rFonts w:ascii="仿宋_GB2312"/>
                <w:kern w:val="0"/>
                <w:sz w:val="28"/>
              </w:rPr>
            </w:pPr>
            <w:r>
              <w:rPr>
                <w:rFonts w:ascii="仿宋_GB2312" w:hint="eastAsia"/>
                <w:color w:val="000000"/>
                <w:kern w:val="0"/>
                <w:sz w:val="28"/>
              </w:rPr>
              <w:t>一</w:t>
            </w:r>
            <w:proofErr w:type="gramStart"/>
            <w:r>
              <w:rPr>
                <w:rFonts w:ascii="仿宋_GB2312" w:hint="eastAsia"/>
                <w:color w:val="000000"/>
                <w:kern w:val="0"/>
                <w:sz w:val="28"/>
              </w:rPr>
              <w:t>窗综合</w:t>
            </w:r>
            <w:proofErr w:type="gramEnd"/>
            <w:r>
              <w:rPr>
                <w:rFonts w:ascii="仿宋_GB2312" w:hint="eastAsia"/>
                <w:color w:val="000000"/>
                <w:kern w:val="0"/>
                <w:sz w:val="28"/>
              </w:rPr>
              <w:t>受理率（%）</w:t>
            </w:r>
          </w:p>
        </w:tc>
        <w:tc>
          <w:tcPr>
            <w:tcW w:w="3444" w:type="dxa"/>
            <w:shd w:val="clear" w:color="auto" w:fill="FFFFFF" w:themeFill="background1"/>
            <w:vAlign w:val="center"/>
          </w:tcPr>
          <w:p w:rsidR="00E51332" w:rsidRDefault="00B767C7">
            <w:pPr>
              <w:widowControl/>
              <w:adjustRightInd w:val="0"/>
              <w:snapToGrid w:val="0"/>
              <w:spacing w:line="276" w:lineRule="auto"/>
              <w:ind w:firstLineChars="0" w:firstLine="0"/>
              <w:rPr>
                <w:rFonts w:ascii="仿宋_GB2312"/>
                <w:color w:val="000000"/>
                <w:kern w:val="0"/>
                <w:sz w:val="28"/>
              </w:rPr>
            </w:pPr>
            <w:r>
              <w:rPr>
                <w:rFonts w:ascii="仿宋_GB2312" w:hint="eastAsia"/>
                <w:color w:val="000000"/>
                <w:kern w:val="0"/>
                <w:sz w:val="28"/>
              </w:rPr>
              <w:t>依申请政务服务事项纳入综合窗口办理的事项数/依申请政务服务事项总数</w:t>
            </w:r>
            <w:r>
              <w:rPr>
                <w:rFonts w:ascii="仿宋" w:eastAsia="仿宋" w:hAnsi="仿宋" w:hint="eastAsia"/>
                <w:color w:val="000000"/>
                <w:kern w:val="0"/>
                <w:sz w:val="28"/>
              </w:rPr>
              <w:t>×</w:t>
            </w:r>
            <w:r>
              <w:rPr>
                <w:rFonts w:ascii="仿宋_GB2312" w:hint="eastAsia"/>
                <w:color w:val="000000"/>
                <w:kern w:val="0"/>
                <w:sz w:val="28"/>
              </w:rPr>
              <w:t>100%</w:t>
            </w:r>
          </w:p>
        </w:tc>
      </w:tr>
      <w:tr w:rsidR="00E51332">
        <w:trPr>
          <w:trHeight w:val="397"/>
        </w:trPr>
        <w:tc>
          <w:tcPr>
            <w:tcW w:w="714" w:type="dxa"/>
            <w:shd w:val="clear" w:color="auto" w:fill="FFFFFF" w:themeFill="background1"/>
            <w:tcMar>
              <w:left w:w="0" w:type="dxa"/>
              <w:right w:w="0" w:type="dxa"/>
            </w:tcMar>
            <w:vAlign w:val="center"/>
          </w:tcPr>
          <w:p w:rsidR="00E51332" w:rsidRDefault="00E51332">
            <w:pPr>
              <w:pStyle w:val="ae"/>
              <w:widowControl/>
              <w:numPr>
                <w:ilvl w:val="0"/>
                <w:numId w:val="6"/>
              </w:numPr>
              <w:snapToGrid w:val="0"/>
              <w:spacing w:line="276" w:lineRule="auto"/>
              <w:ind w:left="0" w:firstLineChars="0" w:firstLine="0"/>
              <w:jc w:val="center"/>
              <w:rPr>
                <w:kern w:val="0"/>
                <w:sz w:val="28"/>
              </w:rPr>
            </w:pPr>
          </w:p>
        </w:tc>
        <w:tc>
          <w:tcPr>
            <w:tcW w:w="1167" w:type="dxa"/>
            <w:vMerge/>
            <w:shd w:val="clear" w:color="auto" w:fill="FFFFFF" w:themeFill="background1"/>
            <w:tcMar>
              <w:left w:w="0" w:type="dxa"/>
              <w:right w:w="0" w:type="dxa"/>
            </w:tcMar>
            <w:vAlign w:val="center"/>
          </w:tcPr>
          <w:p w:rsidR="00E51332" w:rsidRDefault="00E51332">
            <w:pPr>
              <w:widowControl/>
              <w:snapToGrid w:val="0"/>
              <w:spacing w:line="276" w:lineRule="auto"/>
              <w:ind w:firstLine="560"/>
              <w:jc w:val="center"/>
              <w:rPr>
                <w:rFonts w:ascii="仿宋_GB2312"/>
                <w:kern w:val="0"/>
                <w:sz w:val="28"/>
              </w:rPr>
            </w:pPr>
          </w:p>
        </w:tc>
        <w:tc>
          <w:tcPr>
            <w:tcW w:w="3094" w:type="dxa"/>
            <w:shd w:val="clear" w:color="auto" w:fill="FFFFFF" w:themeFill="background1"/>
            <w:tcMar>
              <w:left w:w="0" w:type="dxa"/>
              <w:right w:w="0" w:type="dxa"/>
            </w:tcMar>
            <w:vAlign w:val="center"/>
          </w:tcPr>
          <w:p w:rsidR="00E51332" w:rsidRDefault="00B767C7">
            <w:pPr>
              <w:widowControl/>
              <w:adjustRightInd w:val="0"/>
              <w:snapToGrid w:val="0"/>
              <w:spacing w:line="276" w:lineRule="auto"/>
              <w:ind w:firstLineChars="0" w:firstLine="0"/>
              <w:rPr>
                <w:rFonts w:ascii="仿宋_GB2312"/>
                <w:kern w:val="0"/>
                <w:sz w:val="28"/>
              </w:rPr>
            </w:pPr>
            <w:r>
              <w:rPr>
                <w:rFonts w:ascii="仿宋_GB2312" w:hint="eastAsia"/>
                <w:kern w:val="0"/>
                <w:sz w:val="28"/>
              </w:rPr>
              <w:t>高频服务事项“四免”比例（%）</w:t>
            </w:r>
          </w:p>
        </w:tc>
        <w:tc>
          <w:tcPr>
            <w:tcW w:w="3444" w:type="dxa"/>
            <w:shd w:val="clear" w:color="auto" w:fill="FFFFFF" w:themeFill="background1"/>
            <w:vAlign w:val="center"/>
          </w:tcPr>
          <w:p w:rsidR="00E51332" w:rsidRDefault="00B767C7">
            <w:pPr>
              <w:widowControl/>
              <w:adjustRightInd w:val="0"/>
              <w:snapToGrid w:val="0"/>
              <w:spacing w:line="276" w:lineRule="auto"/>
              <w:ind w:firstLineChars="0" w:firstLine="0"/>
              <w:rPr>
                <w:rFonts w:ascii="仿宋_GB2312"/>
                <w:kern w:val="0"/>
                <w:sz w:val="28"/>
              </w:rPr>
            </w:pPr>
            <w:r>
              <w:rPr>
                <w:rFonts w:ascii="仿宋_GB2312" w:hint="eastAsia"/>
                <w:kern w:val="0"/>
                <w:sz w:val="28"/>
              </w:rPr>
              <w:t>实现“四免”的高频服务事项数/高频服务事项总数</w:t>
            </w:r>
            <w:r>
              <w:rPr>
                <w:rFonts w:ascii="仿宋" w:eastAsia="仿宋" w:hAnsi="仿宋" w:hint="eastAsia"/>
                <w:color w:val="000000"/>
                <w:kern w:val="0"/>
                <w:sz w:val="28"/>
              </w:rPr>
              <w:t>×</w:t>
            </w:r>
            <w:r>
              <w:rPr>
                <w:rFonts w:ascii="仿宋_GB2312" w:hint="eastAsia"/>
                <w:color w:val="000000"/>
                <w:kern w:val="0"/>
                <w:sz w:val="28"/>
              </w:rPr>
              <w:t>100%</w:t>
            </w:r>
          </w:p>
        </w:tc>
      </w:tr>
      <w:tr w:rsidR="00E51332">
        <w:trPr>
          <w:trHeight w:val="397"/>
        </w:trPr>
        <w:tc>
          <w:tcPr>
            <w:tcW w:w="714" w:type="dxa"/>
            <w:shd w:val="clear" w:color="auto" w:fill="FFFFFF" w:themeFill="background1"/>
            <w:tcMar>
              <w:left w:w="0" w:type="dxa"/>
              <w:right w:w="0" w:type="dxa"/>
            </w:tcMar>
            <w:vAlign w:val="center"/>
          </w:tcPr>
          <w:p w:rsidR="00E51332" w:rsidRDefault="00E51332">
            <w:pPr>
              <w:pStyle w:val="ae"/>
              <w:widowControl/>
              <w:numPr>
                <w:ilvl w:val="0"/>
                <w:numId w:val="6"/>
              </w:numPr>
              <w:snapToGrid w:val="0"/>
              <w:spacing w:line="276" w:lineRule="auto"/>
              <w:ind w:left="0" w:firstLineChars="0" w:firstLine="0"/>
              <w:jc w:val="center"/>
              <w:rPr>
                <w:kern w:val="0"/>
                <w:sz w:val="28"/>
              </w:rPr>
            </w:pPr>
          </w:p>
        </w:tc>
        <w:tc>
          <w:tcPr>
            <w:tcW w:w="1167" w:type="dxa"/>
            <w:vMerge/>
            <w:shd w:val="clear" w:color="auto" w:fill="FFFFFF" w:themeFill="background1"/>
            <w:tcMar>
              <w:left w:w="0" w:type="dxa"/>
              <w:right w:w="0" w:type="dxa"/>
            </w:tcMar>
            <w:vAlign w:val="center"/>
          </w:tcPr>
          <w:p w:rsidR="00E51332" w:rsidRDefault="00E51332">
            <w:pPr>
              <w:widowControl/>
              <w:snapToGrid w:val="0"/>
              <w:spacing w:line="276" w:lineRule="auto"/>
              <w:ind w:firstLine="560"/>
              <w:jc w:val="center"/>
              <w:rPr>
                <w:rFonts w:ascii="仿宋_GB2312"/>
                <w:kern w:val="0"/>
                <w:sz w:val="28"/>
              </w:rPr>
            </w:pPr>
          </w:p>
        </w:tc>
        <w:tc>
          <w:tcPr>
            <w:tcW w:w="3094" w:type="dxa"/>
            <w:shd w:val="clear" w:color="auto" w:fill="FFFFFF" w:themeFill="background1"/>
            <w:tcMar>
              <w:left w:w="0" w:type="dxa"/>
              <w:right w:w="0" w:type="dxa"/>
            </w:tcMar>
            <w:vAlign w:val="center"/>
          </w:tcPr>
          <w:p w:rsidR="00E51332" w:rsidRDefault="00B767C7">
            <w:pPr>
              <w:widowControl/>
              <w:adjustRightInd w:val="0"/>
              <w:snapToGrid w:val="0"/>
              <w:spacing w:line="276" w:lineRule="auto"/>
              <w:ind w:firstLineChars="0" w:firstLine="0"/>
              <w:rPr>
                <w:rFonts w:ascii="仿宋_GB2312"/>
                <w:kern w:val="0"/>
                <w:sz w:val="28"/>
              </w:rPr>
            </w:pPr>
            <w:r>
              <w:rPr>
                <w:rFonts w:ascii="仿宋_GB2312" w:hint="eastAsia"/>
                <w:kern w:val="0"/>
                <w:sz w:val="28"/>
              </w:rPr>
              <w:t>“一件事”主题集成服务数量（件）</w:t>
            </w:r>
          </w:p>
        </w:tc>
        <w:tc>
          <w:tcPr>
            <w:tcW w:w="3444" w:type="dxa"/>
            <w:shd w:val="clear" w:color="auto" w:fill="FFFFFF" w:themeFill="background1"/>
            <w:vAlign w:val="center"/>
          </w:tcPr>
          <w:p w:rsidR="00E51332" w:rsidRDefault="00B767C7">
            <w:pPr>
              <w:widowControl/>
              <w:adjustRightInd w:val="0"/>
              <w:snapToGrid w:val="0"/>
              <w:spacing w:line="276" w:lineRule="auto"/>
              <w:ind w:firstLineChars="0" w:firstLine="0"/>
              <w:rPr>
                <w:rFonts w:ascii="仿宋_GB2312"/>
                <w:kern w:val="0"/>
                <w:sz w:val="28"/>
              </w:rPr>
            </w:pPr>
            <w:r>
              <w:rPr>
                <w:rFonts w:ascii="仿宋_GB2312" w:hint="eastAsia"/>
                <w:kern w:val="0"/>
                <w:sz w:val="28"/>
              </w:rPr>
              <w:t>数据统计</w:t>
            </w:r>
          </w:p>
        </w:tc>
      </w:tr>
      <w:tr w:rsidR="00E51332">
        <w:trPr>
          <w:trHeight w:val="397"/>
        </w:trPr>
        <w:tc>
          <w:tcPr>
            <w:tcW w:w="714" w:type="dxa"/>
            <w:shd w:val="clear" w:color="auto" w:fill="FFFFFF" w:themeFill="background1"/>
            <w:tcMar>
              <w:left w:w="0" w:type="dxa"/>
              <w:right w:w="0" w:type="dxa"/>
            </w:tcMar>
            <w:vAlign w:val="center"/>
          </w:tcPr>
          <w:p w:rsidR="00E51332" w:rsidRDefault="00E51332">
            <w:pPr>
              <w:pStyle w:val="ae"/>
              <w:widowControl/>
              <w:numPr>
                <w:ilvl w:val="0"/>
                <w:numId w:val="6"/>
              </w:numPr>
              <w:snapToGrid w:val="0"/>
              <w:spacing w:line="276" w:lineRule="auto"/>
              <w:ind w:left="0" w:firstLineChars="0" w:firstLine="0"/>
              <w:jc w:val="center"/>
              <w:rPr>
                <w:kern w:val="0"/>
                <w:sz w:val="28"/>
              </w:rPr>
            </w:pPr>
          </w:p>
        </w:tc>
        <w:tc>
          <w:tcPr>
            <w:tcW w:w="1167" w:type="dxa"/>
            <w:vMerge/>
            <w:shd w:val="clear" w:color="auto" w:fill="FFFFFF" w:themeFill="background1"/>
            <w:tcMar>
              <w:left w:w="0" w:type="dxa"/>
              <w:right w:w="0" w:type="dxa"/>
            </w:tcMar>
            <w:vAlign w:val="center"/>
          </w:tcPr>
          <w:p w:rsidR="00E51332" w:rsidRDefault="00E51332">
            <w:pPr>
              <w:widowControl/>
              <w:snapToGrid w:val="0"/>
              <w:spacing w:line="276" w:lineRule="auto"/>
              <w:ind w:firstLine="560"/>
              <w:jc w:val="center"/>
              <w:rPr>
                <w:rFonts w:ascii="仿宋_GB2312"/>
                <w:kern w:val="0"/>
                <w:sz w:val="28"/>
              </w:rPr>
            </w:pPr>
          </w:p>
        </w:tc>
        <w:tc>
          <w:tcPr>
            <w:tcW w:w="3094" w:type="dxa"/>
            <w:shd w:val="clear" w:color="auto" w:fill="FFFFFF" w:themeFill="background1"/>
            <w:tcMar>
              <w:left w:w="0" w:type="dxa"/>
              <w:right w:w="0" w:type="dxa"/>
            </w:tcMar>
            <w:vAlign w:val="center"/>
          </w:tcPr>
          <w:p w:rsidR="00E51332" w:rsidRDefault="00B767C7">
            <w:pPr>
              <w:widowControl/>
              <w:adjustRightInd w:val="0"/>
              <w:snapToGrid w:val="0"/>
              <w:spacing w:line="276" w:lineRule="auto"/>
              <w:ind w:firstLineChars="0" w:firstLine="0"/>
              <w:rPr>
                <w:rFonts w:ascii="仿宋_GB2312"/>
                <w:kern w:val="0"/>
                <w:sz w:val="28"/>
              </w:rPr>
            </w:pPr>
            <w:r>
              <w:rPr>
                <w:rFonts w:ascii="仿宋_GB2312" w:hint="eastAsia"/>
                <w:kern w:val="0"/>
                <w:sz w:val="28"/>
              </w:rPr>
              <w:t>政务服务</w:t>
            </w:r>
            <w:proofErr w:type="gramStart"/>
            <w:r>
              <w:rPr>
                <w:rFonts w:ascii="仿宋_GB2312" w:hint="eastAsia"/>
                <w:kern w:val="0"/>
                <w:sz w:val="28"/>
              </w:rPr>
              <w:t>一体机镇街</w:t>
            </w:r>
            <w:proofErr w:type="gramEnd"/>
            <w:r>
              <w:rPr>
                <w:rFonts w:ascii="仿宋_GB2312" w:hint="eastAsia"/>
                <w:kern w:val="0"/>
                <w:sz w:val="28"/>
              </w:rPr>
              <w:t>覆盖率（%）</w:t>
            </w:r>
          </w:p>
        </w:tc>
        <w:tc>
          <w:tcPr>
            <w:tcW w:w="3444" w:type="dxa"/>
            <w:shd w:val="clear" w:color="auto" w:fill="FFFFFF" w:themeFill="background1"/>
            <w:vAlign w:val="center"/>
          </w:tcPr>
          <w:p w:rsidR="00E51332" w:rsidRDefault="00B767C7">
            <w:pPr>
              <w:widowControl/>
              <w:adjustRightInd w:val="0"/>
              <w:snapToGrid w:val="0"/>
              <w:spacing w:line="276" w:lineRule="auto"/>
              <w:ind w:firstLineChars="0" w:firstLine="0"/>
              <w:rPr>
                <w:rFonts w:ascii="仿宋_GB2312"/>
                <w:kern w:val="0"/>
                <w:sz w:val="28"/>
              </w:rPr>
            </w:pPr>
            <w:r>
              <w:rPr>
                <w:rFonts w:ascii="仿宋_GB2312" w:hint="eastAsia"/>
                <w:kern w:val="0"/>
                <w:sz w:val="28"/>
              </w:rPr>
              <w:t>已投放政务服务一体机的镇</w:t>
            </w:r>
            <w:proofErr w:type="gramStart"/>
            <w:r>
              <w:rPr>
                <w:rFonts w:ascii="仿宋_GB2312" w:hint="eastAsia"/>
                <w:kern w:val="0"/>
                <w:sz w:val="28"/>
              </w:rPr>
              <w:t>街数量</w:t>
            </w:r>
            <w:proofErr w:type="gramEnd"/>
            <w:r>
              <w:rPr>
                <w:rFonts w:ascii="仿宋_GB2312" w:hint="eastAsia"/>
                <w:kern w:val="0"/>
                <w:sz w:val="28"/>
              </w:rPr>
              <w:t>/全市镇街总数</w:t>
            </w:r>
            <w:r>
              <w:rPr>
                <w:rFonts w:ascii="仿宋" w:eastAsia="仿宋" w:hAnsi="仿宋" w:hint="eastAsia"/>
                <w:color w:val="000000"/>
                <w:kern w:val="0"/>
                <w:sz w:val="28"/>
              </w:rPr>
              <w:t>×</w:t>
            </w:r>
            <w:r>
              <w:rPr>
                <w:rFonts w:ascii="仿宋_GB2312" w:hint="eastAsia"/>
                <w:kern w:val="0"/>
                <w:sz w:val="28"/>
              </w:rPr>
              <w:t>100%</w:t>
            </w:r>
          </w:p>
        </w:tc>
      </w:tr>
      <w:tr w:rsidR="00E51332">
        <w:trPr>
          <w:trHeight w:val="397"/>
        </w:trPr>
        <w:tc>
          <w:tcPr>
            <w:tcW w:w="714" w:type="dxa"/>
            <w:shd w:val="clear" w:color="auto" w:fill="FFFFFF" w:themeFill="background1"/>
            <w:tcMar>
              <w:left w:w="0" w:type="dxa"/>
              <w:right w:w="0" w:type="dxa"/>
            </w:tcMar>
            <w:vAlign w:val="center"/>
          </w:tcPr>
          <w:p w:rsidR="00E51332" w:rsidRDefault="00E51332">
            <w:pPr>
              <w:pStyle w:val="ae"/>
              <w:widowControl/>
              <w:numPr>
                <w:ilvl w:val="0"/>
                <w:numId w:val="6"/>
              </w:numPr>
              <w:snapToGrid w:val="0"/>
              <w:spacing w:line="276" w:lineRule="auto"/>
              <w:ind w:left="0" w:firstLineChars="0" w:firstLine="0"/>
              <w:jc w:val="center"/>
              <w:rPr>
                <w:kern w:val="0"/>
                <w:sz w:val="28"/>
              </w:rPr>
            </w:pPr>
          </w:p>
        </w:tc>
        <w:tc>
          <w:tcPr>
            <w:tcW w:w="1167" w:type="dxa"/>
            <w:vMerge/>
            <w:shd w:val="clear" w:color="auto" w:fill="FFFFFF" w:themeFill="background1"/>
            <w:tcMar>
              <w:left w:w="0" w:type="dxa"/>
              <w:right w:w="0" w:type="dxa"/>
            </w:tcMar>
            <w:vAlign w:val="center"/>
          </w:tcPr>
          <w:p w:rsidR="00E51332" w:rsidRDefault="00E51332">
            <w:pPr>
              <w:widowControl/>
              <w:snapToGrid w:val="0"/>
              <w:spacing w:line="276" w:lineRule="auto"/>
              <w:ind w:firstLine="560"/>
              <w:jc w:val="center"/>
              <w:rPr>
                <w:rFonts w:ascii="仿宋_GB2312"/>
                <w:kern w:val="0"/>
                <w:sz w:val="28"/>
              </w:rPr>
            </w:pPr>
          </w:p>
        </w:tc>
        <w:tc>
          <w:tcPr>
            <w:tcW w:w="3094" w:type="dxa"/>
            <w:shd w:val="clear" w:color="auto" w:fill="FFFFFF" w:themeFill="background1"/>
            <w:tcMar>
              <w:left w:w="0" w:type="dxa"/>
              <w:right w:w="0" w:type="dxa"/>
            </w:tcMar>
            <w:vAlign w:val="center"/>
          </w:tcPr>
          <w:p w:rsidR="00E51332" w:rsidRDefault="00B767C7">
            <w:pPr>
              <w:widowControl/>
              <w:adjustRightInd w:val="0"/>
              <w:snapToGrid w:val="0"/>
              <w:spacing w:line="276" w:lineRule="auto"/>
              <w:ind w:firstLineChars="0" w:firstLine="0"/>
              <w:rPr>
                <w:rFonts w:ascii="仿宋_GB2312"/>
                <w:kern w:val="0"/>
                <w:sz w:val="28"/>
              </w:rPr>
            </w:pPr>
            <w:r>
              <w:rPr>
                <w:rFonts w:ascii="仿宋_GB2312" w:hint="eastAsia"/>
                <w:kern w:val="0"/>
                <w:sz w:val="28"/>
              </w:rPr>
              <w:t>高频服务事项“跨省通办”比例（%）</w:t>
            </w:r>
          </w:p>
        </w:tc>
        <w:tc>
          <w:tcPr>
            <w:tcW w:w="3444" w:type="dxa"/>
            <w:shd w:val="clear" w:color="auto" w:fill="FFFFFF" w:themeFill="background1"/>
            <w:vAlign w:val="center"/>
          </w:tcPr>
          <w:p w:rsidR="00E51332" w:rsidRDefault="00B767C7">
            <w:pPr>
              <w:widowControl/>
              <w:adjustRightInd w:val="0"/>
              <w:snapToGrid w:val="0"/>
              <w:spacing w:line="276" w:lineRule="auto"/>
              <w:ind w:firstLineChars="0" w:firstLine="0"/>
              <w:rPr>
                <w:rFonts w:ascii="仿宋_GB2312"/>
                <w:kern w:val="0"/>
                <w:sz w:val="28"/>
              </w:rPr>
            </w:pPr>
            <w:r>
              <w:rPr>
                <w:rFonts w:ascii="仿宋_GB2312" w:hint="eastAsia"/>
                <w:kern w:val="0"/>
                <w:sz w:val="28"/>
              </w:rPr>
              <w:t>纳入高频事项清单里已实现跨省</w:t>
            </w:r>
            <w:proofErr w:type="gramStart"/>
            <w:r>
              <w:rPr>
                <w:rFonts w:ascii="仿宋_GB2312" w:hint="eastAsia"/>
                <w:kern w:val="0"/>
                <w:sz w:val="28"/>
              </w:rPr>
              <w:t>通办事</w:t>
            </w:r>
            <w:proofErr w:type="gramEnd"/>
            <w:r>
              <w:rPr>
                <w:rFonts w:ascii="仿宋_GB2312" w:hint="eastAsia"/>
                <w:kern w:val="0"/>
                <w:sz w:val="28"/>
              </w:rPr>
              <w:t>项/清单总数</w:t>
            </w:r>
            <w:r>
              <w:rPr>
                <w:rFonts w:ascii="仿宋" w:eastAsia="仿宋" w:hAnsi="仿宋" w:hint="eastAsia"/>
                <w:color w:val="000000"/>
                <w:kern w:val="0"/>
                <w:sz w:val="28"/>
              </w:rPr>
              <w:t>×</w:t>
            </w:r>
            <w:r>
              <w:rPr>
                <w:rFonts w:ascii="仿宋_GB2312" w:hint="eastAsia"/>
                <w:kern w:val="0"/>
                <w:sz w:val="28"/>
              </w:rPr>
              <w:t>100%</w:t>
            </w:r>
          </w:p>
        </w:tc>
      </w:tr>
      <w:tr w:rsidR="00E51332">
        <w:trPr>
          <w:trHeight w:val="397"/>
        </w:trPr>
        <w:tc>
          <w:tcPr>
            <w:tcW w:w="714" w:type="dxa"/>
            <w:shd w:val="clear" w:color="auto" w:fill="auto"/>
            <w:tcMar>
              <w:left w:w="0" w:type="dxa"/>
              <w:right w:w="0" w:type="dxa"/>
            </w:tcMar>
            <w:vAlign w:val="center"/>
          </w:tcPr>
          <w:p w:rsidR="00E51332" w:rsidRDefault="00E51332">
            <w:pPr>
              <w:pStyle w:val="ae"/>
              <w:widowControl/>
              <w:numPr>
                <w:ilvl w:val="0"/>
                <w:numId w:val="6"/>
              </w:numPr>
              <w:snapToGrid w:val="0"/>
              <w:spacing w:line="276" w:lineRule="auto"/>
              <w:ind w:left="0" w:firstLineChars="0" w:firstLine="0"/>
              <w:jc w:val="center"/>
              <w:rPr>
                <w:kern w:val="0"/>
                <w:sz w:val="28"/>
              </w:rPr>
            </w:pPr>
          </w:p>
        </w:tc>
        <w:tc>
          <w:tcPr>
            <w:tcW w:w="1167" w:type="dxa"/>
            <w:vMerge/>
            <w:tcMar>
              <w:left w:w="0" w:type="dxa"/>
              <w:right w:w="0" w:type="dxa"/>
            </w:tcMar>
            <w:vAlign w:val="center"/>
          </w:tcPr>
          <w:p w:rsidR="00E51332" w:rsidRDefault="00E51332">
            <w:pPr>
              <w:widowControl/>
              <w:snapToGrid w:val="0"/>
              <w:spacing w:line="276" w:lineRule="auto"/>
              <w:ind w:firstLine="560"/>
              <w:jc w:val="center"/>
              <w:rPr>
                <w:rFonts w:ascii="仿宋_GB2312"/>
                <w:kern w:val="0"/>
                <w:sz w:val="28"/>
              </w:rPr>
            </w:pPr>
          </w:p>
        </w:tc>
        <w:tc>
          <w:tcPr>
            <w:tcW w:w="3094" w:type="dxa"/>
            <w:shd w:val="clear" w:color="auto" w:fill="auto"/>
            <w:tcMar>
              <w:left w:w="0" w:type="dxa"/>
              <w:right w:w="0" w:type="dxa"/>
            </w:tcMar>
            <w:vAlign w:val="center"/>
          </w:tcPr>
          <w:p w:rsidR="00E51332" w:rsidRDefault="00B767C7">
            <w:pPr>
              <w:widowControl/>
              <w:adjustRightInd w:val="0"/>
              <w:snapToGrid w:val="0"/>
              <w:spacing w:line="276" w:lineRule="auto"/>
              <w:ind w:firstLineChars="0" w:firstLine="0"/>
              <w:rPr>
                <w:rFonts w:ascii="仿宋_GB2312"/>
                <w:kern w:val="0"/>
                <w:sz w:val="28"/>
              </w:rPr>
            </w:pPr>
            <w:r>
              <w:rPr>
                <w:rFonts w:ascii="仿宋_GB2312" w:hint="eastAsia"/>
                <w:kern w:val="0"/>
                <w:sz w:val="28"/>
              </w:rPr>
              <w:t>政务服务“好差评”（分）</w:t>
            </w:r>
          </w:p>
        </w:tc>
        <w:tc>
          <w:tcPr>
            <w:tcW w:w="3444" w:type="dxa"/>
            <w:vAlign w:val="center"/>
          </w:tcPr>
          <w:p w:rsidR="00E51332" w:rsidRDefault="00B767C7">
            <w:pPr>
              <w:widowControl/>
              <w:adjustRightInd w:val="0"/>
              <w:snapToGrid w:val="0"/>
              <w:spacing w:line="276" w:lineRule="auto"/>
              <w:ind w:firstLineChars="0" w:firstLine="0"/>
              <w:rPr>
                <w:rFonts w:ascii="仿宋_GB2312"/>
                <w:kern w:val="0"/>
                <w:sz w:val="28"/>
              </w:rPr>
            </w:pPr>
            <w:r>
              <w:rPr>
                <w:rFonts w:ascii="仿宋_GB2312" w:hint="eastAsia"/>
                <w:color w:val="000000"/>
                <w:kern w:val="0"/>
                <w:sz w:val="28"/>
              </w:rPr>
              <w:t>数据统计</w:t>
            </w:r>
          </w:p>
        </w:tc>
      </w:tr>
      <w:tr w:rsidR="00E51332">
        <w:trPr>
          <w:trHeight w:val="397"/>
        </w:trPr>
        <w:tc>
          <w:tcPr>
            <w:tcW w:w="714" w:type="dxa"/>
            <w:shd w:val="clear" w:color="auto" w:fill="auto"/>
            <w:tcMar>
              <w:left w:w="0" w:type="dxa"/>
              <w:right w:w="0" w:type="dxa"/>
            </w:tcMar>
            <w:vAlign w:val="center"/>
          </w:tcPr>
          <w:p w:rsidR="00E51332" w:rsidRDefault="00E51332">
            <w:pPr>
              <w:pStyle w:val="ae"/>
              <w:widowControl/>
              <w:numPr>
                <w:ilvl w:val="0"/>
                <w:numId w:val="6"/>
              </w:numPr>
              <w:snapToGrid w:val="0"/>
              <w:spacing w:line="276" w:lineRule="auto"/>
              <w:ind w:left="0" w:firstLineChars="0" w:firstLine="0"/>
              <w:jc w:val="center"/>
              <w:rPr>
                <w:kern w:val="0"/>
                <w:sz w:val="28"/>
              </w:rPr>
            </w:pPr>
          </w:p>
        </w:tc>
        <w:tc>
          <w:tcPr>
            <w:tcW w:w="1167" w:type="dxa"/>
            <w:vMerge/>
            <w:tcMar>
              <w:left w:w="0" w:type="dxa"/>
              <w:right w:w="0" w:type="dxa"/>
            </w:tcMar>
            <w:vAlign w:val="center"/>
          </w:tcPr>
          <w:p w:rsidR="00E51332" w:rsidRDefault="00E51332">
            <w:pPr>
              <w:widowControl/>
              <w:snapToGrid w:val="0"/>
              <w:spacing w:line="276" w:lineRule="auto"/>
              <w:ind w:firstLine="560"/>
              <w:jc w:val="center"/>
              <w:rPr>
                <w:rFonts w:ascii="仿宋_GB2312"/>
                <w:kern w:val="0"/>
                <w:sz w:val="28"/>
              </w:rPr>
            </w:pPr>
          </w:p>
        </w:tc>
        <w:tc>
          <w:tcPr>
            <w:tcW w:w="3094" w:type="dxa"/>
            <w:shd w:val="clear" w:color="auto" w:fill="auto"/>
            <w:tcMar>
              <w:left w:w="0" w:type="dxa"/>
              <w:right w:w="0" w:type="dxa"/>
            </w:tcMar>
            <w:vAlign w:val="center"/>
          </w:tcPr>
          <w:p w:rsidR="00E51332" w:rsidRDefault="00B767C7">
            <w:pPr>
              <w:widowControl/>
              <w:adjustRightInd w:val="0"/>
              <w:snapToGrid w:val="0"/>
              <w:spacing w:line="276" w:lineRule="auto"/>
              <w:ind w:firstLineChars="0" w:firstLine="0"/>
              <w:rPr>
                <w:rFonts w:ascii="仿宋_GB2312"/>
                <w:kern w:val="0"/>
                <w:sz w:val="28"/>
              </w:rPr>
            </w:pPr>
            <w:r>
              <w:rPr>
                <w:rFonts w:ascii="仿宋_GB2312" w:hint="eastAsia"/>
                <w:kern w:val="0"/>
                <w:sz w:val="28"/>
              </w:rPr>
              <w:t>粤省事</w:t>
            </w:r>
            <w:proofErr w:type="gramStart"/>
            <w:r>
              <w:rPr>
                <w:rFonts w:ascii="仿宋_GB2312" w:hint="eastAsia"/>
                <w:kern w:val="0"/>
                <w:sz w:val="28"/>
              </w:rPr>
              <w:t>日活跃</w:t>
            </w:r>
            <w:proofErr w:type="gramEnd"/>
            <w:r>
              <w:rPr>
                <w:rFonts w:ascii="仿宋_GB2312" w:hint="eastAsia"/>
                <w:kern w:val="0"/>
                <w:sz w:val="28"/>
              </w:rPr>
              <w:t>用户数（万名）</w:t>
            </w:r>
          </w:p>
        </w:tc>
        <w:tc>
          <w:tcPr>
            <w:tcW w:w="3444" w:type="dxa"/>
            <w:vAlign w:val="center"/>
          </w:tcPr>
          <w:p w:rsidR="00E51332" w:rsidRDefault="00B767C7">
            <w:pPr>
              <w:widowControl/>
              <w:adjustRightInd w:val="0"/>
              <w:snapToGrid w:val="0"/>
              <w:spacing w:line="276" w:lineRule="auto"/>
              <w:ind w:firstLineChars="0" w:firstLine="0"/>
              <w:rPr>
                <w:rFonts w:ascii="仿宋_GB2312"/>
                <w:kern w:val="0"/>
                <w:sz w:val="28"/>
              </w:rPr>
            </w:pPr>
            <w:r>
              <w:rPr>
                <w:rFonts w:ascii="仿宋_GB2312" w:hint="eastAsia"/>
                <w:color w:val="000000"/>
                <w:kern w:val="0"/>
                <w:sz w:val="28"/>
              </w:rPr>
              <w:t>数据统计</w:t>
            </w:r>
          </w:p>
        </w:tc>
      </w:tr>
      <w:tr w:rsidR="00E51332">
        <w:trPr>
          <w:trHeight w:val="397"/>
        </w:trPr>
        <w:tc>
          <w:tcPr>
            <w:tcW w:w="714" w:type="dxa"/>
            <w:shd w:val="clear" w:color="auto" w:fill="auto"/>
            <w:tcMar>
              <w:left w:w="0" w:type="dxa"/>
              <w:right w:w="0" w:type="dxa"/>
            </w:tcMar>
            <w:vAlign w:val="center"/>
          </w:tcPr>
          <w:p w:rsidR="00E51332" w:rsidRDefault="00E51332">
            <w:pPr>
              <w:pStyle w:val="ae"/>
              <w:widowControl/>
              <w:numPr>
                <w:ilvl w:val="0"/>
                <w:numId w:val="6"/>
              </w:numPr>
              <w:snapToGrid w:val="0"/>
              <w:spacing w:line="276" w:lineRule="auto"/>
              <w:ind w:left="0" w:firstLineChars="0" w:firstLine="0"/>
              <w:jc w:val="center"/>
              <w:rPr>
                <w:kern w:val="0"/>
                <w:sz w:val="28"/>
              </w:rPr>
            </w:pPr>
          </w:p>
        </w:tc>
        <w:tc>
          <w:tcPr>
            <w:tcW w:w="1167" w:type="dxa"/>
            <w:vMerge/>
            <w:tcMar>
              <w:left w:w="0" w:type="dxa"/>
              <w:right w:w="0" w:type="dxa"/>
            </w:tcMar>
            <w:vAlign w:val="center"/>
          </w:tcPr>
          <w:p w:rsidR="00E51332" w:rsidRDefault="00E51332">
            <w:pPr>
              <w:widowControl/>
              <w:snapToGrid w:val="0"/>
              <w:spacing w:line="276" w:lineRule="auto"/>
              <w:ind w:firstLine="560"/>
              <w:jc w:val="center"/>
              <w:rPr>
                <w:rFonts w:ascii="仿宋_GB2312"/>
                <w:kern w:val="0"/>
                <w:sz w:val="28"/>
              </w:rPr>
            </w:pPr>
          </w:p>
        </w:tc>
        <w:tc>
          <w:tcPr>
            <w:tcW w:w="3094" w:type="dxa"/>
            <w:shd w:val="clear" w:color="auto" w:fill="auto"/>
            <w:tcMar>
              <w:left w:w="0" w:type="dxa"/>
              <w:right w:w="0" w:type="dxa"/>
            </w:tcMar>
            <w:vAlign w:val="center"/>
          </w:tcPr>
          <w:p w:rsidR="00E51332" w:rsidRDefault="00B767C7">
            <w:pPr>
              <w:widowControl/>
              <w:adjustRightInd w:val="0"/>
              <w:snapToGrid w:val="0"/>
              <w:spacing w:line="276" w:lineRule="auto"/>
              <w:ind w:firstLineChars="0" w:firstLine="0"/>
              <w:rPr>
                <w:rFonts w:ascii="仿宋_GB2312"/>
                <w:kern w:val="0"/>
                <w:sz w:val="28"/>
              </w:rPr>
            </w:pPr>
            <w:r>
              <w:rPr>
                <w:rFonts w:ascii="仿宋_GB2312" w:hint="eastAsia"/>
                <w:kern w:val="0"/>
                <w:sz w:val="28"/>
              </w:rPr>
              <w:t>粤商</w:t>
            </w:r>
            <w:proofErr w:type="gramStart"/>
            <w:r>
              <w:rPr>
                <w:rFonts w:ascii="仿宋_GB2312" w:hint="eastAsia"/>
                <w:kern w:val="0"/>
                <w:sz w:val="28"/>
              </w:rPr>
              <w:t>通日活跃</w:t>
            </w:r>
            <w:proofErr w:type="gramEnd"/>
            <w:r>
              <w:rPr>
                <w:rFonts w:ascii="仿宋_GB2312" w:hint="eastAsia"/>
                <w:kern w:val="0"/>
                <w:sz w:val="28"/>
              </w:rPr>
              <w:t>用户数（万名）</w:t>
            </w:r>
          </w:p>
        </w:tc>
        <w:tc>
          <w:tcPr>
            <w:tcW w:w="3444" w:type="dxa"/>
            <w:vAlign w:val="center"/>
          </w:tcPr>
          <w:p w:rsidR="00E51332" w:rsidRDefault="00B767C7">
            <w:pPr>
              <w:widowControl/>
              <w:adjustRightInd w:val="0"/>
              <w:snapToGrid w:val="0"/>
              <w:spacing w:line="276" w:lineRule="auto"/>
              <w:ind w:firstLineChars="0" w:firstLine="0"/>
              <w:rPr>
                <w:rFonts w:ascii="仿宋_GB2312"/>
                <w:kern w:val="0"/>
                <w:sz w:val="28"/>
              </w:rPr>
            </w:pPr>
            <w:r>
              <w:rPr>
                <w:rFonts w:ascii="仿宋_GB2312" w:hint="eastAsia"/>
                <w:color w:val="000000"/>
                <w:kern w:val="0"/>
                <w:sz w:val="28"/>
              </w:rPr>
              <w:t>数据统计</w:t>
            </w:r>
          </w:p>
        </w:tc>
      </w:tr>
      <w:tr w:rsidR="00E51332">
        <w:trPr>
          <w:trHeight w:val="397"/>
        </w:trPr>
        <w:tc>
          <w:tcPr>
            <w:tcW w:w="714" w:type="dxa"/>
            <w:shd w:val="clear" w:color="auto" w:fill="auto"/>
            <w:tcMar>
              <w:left w:w="0" w:type="dxa"/>
              <w:right w:w="0" w:type="dxa"/>
            </w:tcMar>
            <w:vAlign w:val="center"/>
          </w:tcPr>
          <w:p w:rsidR="00E51332" w:rsidRDefault="00E51332">
            <w:pPr>
              <w:pStyle w:val="ae"/>
              <w:widowControl/>
              <w:numPr>
                <w:ilvl w:val="0"/>
                <w:numId w:val="6"/>
              </w:numPr>
              <w:snapToGrid w:val="0"/>
              <w:spacing w:line="276" w:lineRule="auto"/>
              <w:ind w:left="0" w:firstLineChars="0" w:firstLine="0"/>
              <w:jc w:val="center"/>
              <w:rPr>
                <w:kern w:val="0"/>
                <w:sz w:val="28"/>
              </w:rPr>
            </w:pPr>
          </w:p>
        </w:tc>
        <w:tc>
          <w:tcPr>
            <w:tcW w:w="1167" w:type="dxa"/>
            <w:vMerge/>
            <w:tcMar>
              <w:left w:w="0" w:type="dxa"/>
              <w:right w:w="0" w:type="dxa"/>
            </w:tcMar>
            <w:vAlign w:val="center"/>
          </w:tcPr>
          <w:p w:rsidR="00E51332" w:rsidRDefault="00E51332">
            <w:pPr>
              <w:widowControl/>
              <w:snapToGrid w:val="0"/>
              <w:spacing w:line="276" w:lineRule="auto"/>
              <w:ind w:firstLine="560"/>
              <w:jc w:val="center"/>
              <w:rPr>
                <w:rFonts w:ascii="仿宋_GB2312"/>
                <w:kern w:val="0"/>
                <w:sz w:val="28"/>
              </w:rPr>
            </w:pPr>
          </w:p>
        </w:tc>
        <w:tc>
          <w:tcPr>
            <w:tcW w:w="3094" w:type="dxa"/>
            <w:shd w:val="clear" w:color="auto" w:fill="auto"/>
            <w:tcMar>
              <w:left w:w="0" w:type="dxa"/>
              <w:right w:w="0" w:type="dxa"/>
            </w:tcMar>
            <w:vAlign w:val="center"/>
          </w:tcPr>
          <w:p w:rsidR="00E51332" w:rsidRDefault="00B767C7">
            <w:pPr>
              <w:widowControl/>
              <w:adjustRightInd w:val="0"/>
              <w:snapToGrid w:val="0"/>
              <w:spacing w:line="276" w:lineRule="auto"/>
              <w:ind w:firstLineChars="0" w:firstLine="0"/>
              <w:rPr>
                <w:rFonts w:ascii="仿宋_GB2312"/>
                <w:kern w:val="0"/>
                <w:sz w:val="28"/>
              </w:rPr>
            </w:pPr>
            <w:proofErr w:type="gramStart"/>
            <w:r>
              <w:rPr>
                <w:rFonts w:ascii="仿宋_GB2312" w:hint="eastAsia"/>
                <w:kern w:val="0"/>
                <w:sz w:val="28"/>
              </w:rPr>
              <w:t>粤政易日活跃</w:t>
            </w:r>
            <w:proofErr w:type="gramEnd"/>
            <w:r>
              <w:rPr>
                <w:rFonts w:ascii="仿宋_GB2312" w:hint="eastAsia"/>
                <w:kern w:val="0"/>
                <w:sz w:val="28"/>
              </w:rPr>
              <w:t>用户数（万名）</w:t>
            </w:r>
          </w:p>
        </w:tc>
        <w:tc>
          <w:tcPr>
            <w:tcW w:w="3444" w:type="dxa"/>
            <w:vAlign w:val="center"/>
          </w:tcPr>
          <w:p w:rsidR="00E51332" w:rsidRDefault="00B767C7">
            <w:pPr>
              <w:widowControl/>
              <w:adjustRightInd w:val="0"/>
              <w:snapToGrid w:val="0"/>
              <w:spacing w:line="276" w:lineRule="auto"/>
              <w:ind w:firstLineChars="0" w:firstLine="0"/>
              <w:rPr>
                <w:rFonts w:ascii="仿宋_GB2312"/>
                <w:kern w:val="0"/>
                <w:sz w:val="28"/>
              </w:rPr>
            </w:pPr>
            <w:r>
              <w:rPr>
                <w:rFonts w:ascii="仿宋_GB2312" w:hint="eastAsia"/>
                <w:color w:val="000000"/>
                <w:kern w:val="0"/>
                <w:sz w:val="28"/>
              </w:rPr>
              <w:t>数据统计</w:t>
            </w:r>
          </w:p>
        </w:tc>
      </w:tr>
      <w:tr w:rsidR="00E51332">
        <w:trPr>
          <w:trHeight w:val="397"/>
        </w:trPr>
        <w:tc>
          <w:tcPr>
            <w:tcW w:w="714" w:type="dxa"/>
            <w:shd w:val="clear" w:color="auto" w:fill="auto"/>
            <w:tcMar>
              <w:left w:w="0" w:type="dxa"/>
              <w:right w:w="0" w:type="dxa"/>
            </w:tcMar>
            <w:vAlign w:val="center"/>
          </w:tcPr>
          <w:p w:rsidR="00E51332" w:rsidRDefault="00E51332">
            <w:pPr>
              <w:pStyle w:val="ae"/>
              <w:widowControl/>
              <w:numPr>
                <w:ilvl w:val="0"/>
                <w:numId w:val="6"/>
              </w:numPr>
              <w:snapToGrid w:val="0"/>
              <w:spacing w:line="276" w:lineRule="auto"/>
              <w:ind w:left="0" w:firstLineChars="0" w:firstLine="0"/>
              <w:jc w:val="center"/>
              <w:rPr>
                <w:kern w:val="0"/>
                <w:sz w:val="28"/>
              </w:rPr>
            </w:pPr>
          </w:p>
        </w:tc>
        <w:tc>
          <w:tcPr>
            <w:tcW w:w="1167" w:type="dxa"/>
            <w:vMerge/>
            <w:tcMar>
              <w:left w:w="0" w:type="dxa"/>
              <w:right w:w="0" w:type="dxa"/>
            </w:tcMar>
            <w:vAlign w:val="center"/>
          </w:tcPr>
          <w:p w:rsidR="00E51332" w:rsidRDefault="00E51332">
            <w:pPr>
              <w:widowControl/>
              <w:snapToGrid w:val="0"/>
              <w:spacing w:line="276" w:lineRule="auto"/>
              <w:ind w:firstLine="560"/>
              <w:jc w:val="center"/>
              <w:rPr>
                <w:rFonts w:ascii="仿宋_GB2312"/>
                <w:kern w:val="0"/>
                <w:sz w:val="28"/>
              </w:rPr>
            </w:pPr>
          </w:p>
        </w:tc>
        <w:tc>
          <w:tcPr>
            <w:tcW w:w="3094" w:type="dxa"/>
            <w:shd w:val="clear" w:color="auto" w:fill="auto"/>
            <w:tcMar>
              <w:left w:w="0" w:type="dxa"/>
              <w:right w:w="0" w:type="dxa"/>
            </w:tcMar>
            <w:vAlign w:val="center"/>
          </w:tcPr>
          <w:p w:rsidR="00E51332" w:rsidRDefault="00B767C7">
            <w:pPr>
              <w:widowControl/>
              <w:adjustRightInd w:val="0"/>
              <w:snapToGrid w:val="0"/>
              <w:spacing w:line="276" w:lineRule="auto"/>
              <w:ind w:firstLineChars="0" w:firstLine="0"/>
              <w:rPr>
                <w:rFonts w:ascii="仿宋_GB2312"/>
                <w:kern w:val="0"/>
                <w:sz w:val="28"/>
              </w:rPr>
            </w:pPr>
            <w:r>
              <w:rPr>
                <w:rFonts w:ascii="仿宋_GB2312" w:hint="eastAsia"/>
                <w:kern w:val="0"/>
                <w:sz w:val="28"/>
              </w:rPr>
              <w:t>江门易办事活跃用户数（万名）</w:t>
            </w:r>
          </w:p>
        </w:tc>
        <w:tc>
          <w:tcPr>
            <w:tcW w:w="3444" w:type="dxa"/>
            <w:vAlign w:val="center"/>
          </w:tcPr>
          <w:p w:rsidR="00E51332" w:rsidRDefault="00B767C7">
            <w:pPr>
              <w:widowControl/>
              <w:adjustRightInd w:val="0"/>
              <w:snapToGrid w:val="0"/>
              <w:spacing w:line="276" w:lineRule="auto"/>
              <w:ind w:firstLineChars="0" w:firstLine="0"/>
              <w:rPr>
                <w:rFonts w:ascii="仿宋_GB2312"/>
                <w:color w:val="000000"/>
                <w:kern w:val="0"/>
                <w:sz w:val="28"/>
              </w:rPr>
            </w:pPr>
            <w:r>
              <w:rPr>
                <w:rFonts w:ascii="仿宋_GB2312" w:hint="eastAsia"/>
                <w:color w:val="000000"/>
                <w:kern w:val="0"/>
                <w:sz w:val="28"/>
              </w:rPr>
              <w:t>数据统计</w:t>
            </w:r>
          </w:p>
        </w:tc>
      </w:tr>
      <w:tr w:rsidR="00E51332">
        <w:trPr>
          <w:trHeight w:val="397"/>
        </w:trPr>
        <w:tc>
          <w:tcPr>
            <w:tcW w:w="714" w:type="dxa"/>
            <w:shd w:val="clear" w:color="auto" w:fill="auto"/>
            <w:tcMar>
              <w:left w:w="0" w:type="dxa"/>
              <w:right w:w="0" w:type="dxa"/>
            </w:tcMar>
            <w:vAlign w:val="center"/>
          </w:tcPr>
          <w:p w:rsidR="00E51332" w:rsidRDefault="00E51332">
            <w:pPr>
              <w:pStyle w:val="ae"/>
              <w:widowControl/>
              <w:numPr>
                <w:ilvl w:val="0"/>
                <w:numId w:val="6"/>
              </w:numPr>
              <w:snapToGrid w:val="0"/>
              <w:spacing w:line="276" w:lineRule="auto"/>
              <w:ind w:left="0" w:firstLineChars="0" w:firstLine="0"/>
              <w:jc w:val="center"/>
              <w:rPr>
                <w:kern w:val="0"/>
                <w:sz w:val="28"/>
              </w:rPr>
            </w:pPr>
          </w:p>
        </w:tc>
        <w:tc>
          <w:tcPr>
            <w:tcW w:w="1167" w:type="dxa"/>
            <w:vMerge/>
            <w:tcMar>
              <w:left w:w="0" w:type="dxa"/>
              <w:right w:w="0" w:type="dxa"/>
            </w:tcMar>
            <w:vAlign w:val="center"/>
          </w:tcPr>
          <w:p w:rsidR="00E51332" w:rsidRDefault="00E51332">
            <w:pPr>
              <w:widowControl/>
              <w:snapToGrid w:val="0"/>
              <w:spacing w:line="276" w:lineRule="auto"/>
              <w:ind w:firstLine="560"/>
              <w:jc w:val="center"/>
              <w:rPr>
                <w:rFonts w:ascii="仿宋_GB2312"/>
                <w:kern w:val="0"/>
                <w:sz w:val="28"/>
              </w:rPr>
            </w:pPr>
          </w:p>
        </w:tc>
        <w:tc>
          <w:tcPr>
            <w:tcW w:w="3094" w:type="dxa"/>
            <w:shd w:val="clear" w:color="auto" w:fill="auto"/>
            <w:tcMar>
              <w:left w:w="0" w:type="dxa"/>
              <w:right w:w="0" w:type="dxa"/>
            </w:tcMar>
            <w:vAlign w:val="center"/>
          </w:tcPr>
          <w:p w:rsidR="00E51332" w:rsidRDefault="00B767C7">
            <w:pPr>
              <w:widowControl/>
              <w:adjustRightInd w:val="0"/>
              <w:snapToGrid w:val="0"/>
              <w:spacing w:line="276" w:lineRule="auto"/>
              <w:ind w:firstLineChars="0" w:firstLine="0"/>
              <w:rPr>
                <w:rFonts w:ascii="仿宋_GB2312"/>
                <w:kern w:val="0"/>
                <w:sz w:val="28"/>
              </w:rPr>
            </w:pPr>
            <w:r>
              <w:rPr>
                <w:rFonts w:ascii="仿宋_GB2312" w:hint="eastAsia"/>
                <w:kern w:val="0"/>
                <w:sz w:val="28"/>
              </w:rPr>
              <w:t>“一网统管”行业覆盖率（%）</w:t>
            </w:r>
          </w:p>
        </w:tc>
        <w:tc>
          <w:tcPr>
            <w:tcW w:w="3444" w:type="dxa"/>
            <w:vAlign w:val="center"/>
          </w:tcPr>
          <w:p w:rsidR="00E51332" w:rsidRDefault="00B767C7">
            <w:pPr>
              <w:widowControl/>
              <w:adjustRightInd w:val="0"/>
              <w:snapToGrid w:val="0"/>
              <w:spacing w:line="276" w:lineRule="auto"/>
              <w:ind w:firstLineChars="0" w:firstLine="0"/>
              <w:rPr>
                <w:rFonts w:ascii="仿宋_GB2312"/>
                <w:kern w:val="0"/>
                <w:sz w:val="28"/>
              </w:rPr>
            </w:pPr>
            <w:r>
              <w:rPr>
                <w:rFonts w:ascii="仿宋_GB2312" w:hint="eastAsia"/>
                <w:color w:val="000000"/>
                <w:kern w:val="0"/>
                <w:sz w:val="28"/>
              </w:rPr>
              <w:t>“一网统管”覆盖政府行业数/政府行业总数</w:t>
            </w:r>
            <w:r>
              <w:rPr>
                <w:rFonts w:ascii="仿宋" w:eastAsia="仿宋" w:hAnsi="仿宋" w:hint="eastAsia"/>
                <w:color w:val="000000"/>
                <w:kern w:val="0"/>
                <w:sz w:val="28"/>
              </w:rPr>
              <w:t>×</w:t>
            </w:r>
            <w:r>
              <w:rPr>
                <w:rFonts w:ascii="仿宋_GB2312" w:hint="eastAsia"/>
                <w:color w:val="000000"/>
                <w:kern w:val="0"/>
                <w:sz w:val="28"/>
              </w:rPr>
              <w:t>100%</w:t>
            </w:r>
          </w:p>
        </w:tc>
      </w:tr>
      <w:tr w:rsidR="00E51332">
        <w:trPr>
          <w:trHeight w:val="397"/>
        </w:trPr>
        <w:tc>
          <w:tcPr>
            <w:tcW w:w="714" w:type="dxa"/>
            <w:shd w:val="clear" w:color="auto" w:fill="auto"/>
            <w:tcMar>
              <w:left w:w="0" w:type="dxa"/>
              <w:right w:w="0" w:type="dxa"/>
            </w:tcMar>
            <w:vAlign w:val="center"/>
          </w:tcPr>
          <w:p w:rsidR="00E51332" w:rsidRDefault="00E51332">
            <w:pPr>
              <w:pStyle w:val="ae"/>
              <w:widowControl/>
              <w:numPr>
                <w:ilvl w:val="0"/>
                <w:numId w:val="6"/>
              </w:numPr>
              <w:snapToGrid w:val="0"/>
              <w:spacing w:line="276" w:lineRule="auto"/>
              <w:ind w:left="0" w:firstLineChars="0" w:firstLine="0"/>
              <w:jc w:val="center"/>
              <w:rPr>
                <w:kern w:val="0"/>
                <w:sz w:val="28"/>
              </w:rPr>
            </w:pPr>
          </w:p>
        </w:tc>
        <w:tc>
          <w:tcPr>
            <w:tcW w:w="1167" w:type="dxa"/>
            <w:vMerge/>
            <w:tcMar>
              <w:left w:w="0" w:type="dxa"/>
              <w:right w:w="0" w:type="dxa"/>
            </w:tcMar>
            <w:vAlign w:val="center"/>
          </w:tcPr>
          <w:p w:rsidR="00E51332" w:rsidRDefault="00E51332">
            <w:pPr>
              <w:widowControl/>
              <w:snapToGrid w:val="0"/>
              <w:spacing w:line="276" w:lineRule="auto"/>
              <w:ind w:firstLine="560"/>
              <w:jc w:val="center"/>
              <w:rPr>
                <w:rFonts w:ascii="仿宋_GB2312"/>
                <w:kern w:val="0"/>
                <w:sz w:val="28"/>
              </w:rPr>
            </w:pPr>
          </w:p>
        </w:tc>
        <w:tc>
          <w:tcPr>
            <w:tcW w:w="3094" w:type="dxa"/>
            <w:shd w:val="clear" w:color="auto" w:fill="auto"/>
            <w:tcMar>
              <w:left w:w="0" w:type="dxa"/>
              <w:right w:w="0" w:type="dxa"/>
            </w:tcMar>
            <w:vAlign w:val="center"/>
          </w:tcPr>
          <w:p w:rsidR="00E51332" w:rsidRDefault="00B767C7">
            <w:pPr>
              <w:widowControl/>
              <w:adjustRightInd w:val="0"/>
              <w:snapToGrid w:val="0"/>
              <w:spacing w:line="276" w:lineRule="auto"/>
              <w:ind w:firstLineChars="0" w:firstLine="0"/>
              <w:rPr>
                <w:rFonts w:ascii="仿宋_GB2312"/>
                <w:kern w:val="0"/>
                <w:sz w:val="28"/>
              </w:rPr>
            </w:pPr>
            <w:r>
              <w:rPr>
                <w:rFonts w:ascii="仿宋_GB2312" w:hint="eastAsia"/>
                <w:kern w:val="0"/>
                <w:sz w:val="28"/>
              </w:rPr>
              <w:t>CIM平台覆盖率（%）</w:t>
            </w:r>
          </w:p>
        </w:tc>
        <w:tc>
          <w:tcPr>
            <w:tcW w:w="3444" w:type="dxa"/>
            <w:vAlign w:val="center"/>
          </w:tcPr>
          <w:p w:rsidR="00E51332" w:rsidRDefault="00B767C7">
            <w:pPr>
              <w:widowControl/>
              <w:adjustRightInd w:val="0"/>
              <w:snapToGrid w:val="0"/>
              <w:spacing w:line="276" w:lineRule="auto"/>
              <w:ind w:firstLineChars="0" w:firstLine="0"/>
              <w:rPr>
                <w:rFonts w:ascii="仿宋_GB2312"/>
                <w:kern w:val="0"/>
                <w:sz w:val="28"/>
              </w:rPr>
            </w:pPr>
            <w:r>
              <w:rPr>
                <w:rFonts w:ascii="仿宋_GB2312" w:hint="eastAsia"/>
                <w:color w:val="000000"/>
                <w:kern w:val="0"/>
                <w:sz w:val="28"/>
              </w:rPr>
              <w:t>全市应用CIM平台的市（区）数量/市（区）总数</w:t>
            </w:r>
            <w:r>
              <w:rPr>
                <w:rFonts w:ascii="仿宋" w:eastAsia="仿宋" w:hAnsi="仿宋" w:hint="eastAsia"/>
                <w:color w:val="000000"/>
                <w:kern w:val="0"/>
                <w:sz w:val="28"/>
              </w:rPr>
              <w:t>×</w:t>
            </w:r>
            <w:r>
              <w:rPr>
                <w:rFonts w:ascii="仿宋_GB2312" w:hint="eastAsia"/>
                <w:color w:val="000000"/>
                <w:kern w:val="0"/>
                <w:sz w:val="28"/>
              </w:rPr>
              <w:t>100%</w:t>
            </w:r>
          </w:p>
        </w:tc>
      </w:tr>
      <w:tr w:rsidR="00E51332">
        <w:trPr>
          <w:trHeight w:val="397"/>
        </w:trPr>
        <w:tc>
          <w:tcPr>
            <w:tcW w:w="714" w:type="dxa"/>
            <w:shd w:val="clear" w:color="auto" w:fill="auto"/>
            <w:tcMar>
              <w:left w:w="0" w:type="dxa"/>
              <w:right w:w="0" w:type="dxa"/>
            </w:tcMar>
            <w:vAlign w:val="center"/>
          </w:tcPr>
          <w:p w:rsidR="00E51332" w:rsidRDefault="00E51332">
            <w:pPr>
              <w:pStyle w:val="ae"/>
              <w:widowControl/>
              <w:numPr>
                <w:ilvl w:val="0"/>
                <w:numId w:val="6"/>
              </w:numPr>
              <w:snapToGrid w:val="0"/>
              <w:spacing w:line="276" w:lineRule="auto"/>
              <w:ind w:left="0" w:firstLineChars="0" w:firstLine="0"/>
              <w:jc w:val="center"/>
              <w:rPr>
                <w:kern w:val="0"/>
                <w:sz w:val="28"/>
              </w:rPr>
            </w:pPr>
          </w:p>
        </w:tc>
        <w:tc>
          <w:tcPr>
            <w:tcW w:w="1167" w:type="dxa"/>
            <w:vMerge/>
            <w:tcMar>
              <w:left w:w="0" w:type="dxa"/>
              <w:right w:w="0" w:type="dxa"/>
            </w:tcMar>
            <w:vAlign w:val="center"/>
          </w:tcPr>
          <w:p w:rsidR="00E51332" w:rsidRDefault="00E51332">
            <w:pPr>
              <w:widowControl/>
              <w:snapToGrid w:val="0"/>
              <w:spacing w:line="276" w:lineRule="auto"/>
              <w:ind w:firstLine="560"/>
              <w:jc w:val="center"/>
              <w:rPr>
                <w:rFonts w:ascii="仿宋_GB2312"/>
                <w:kern w:val="0"/>
                <w:sz w:val="28"/>
              </w:rPr>
            </w:pPr>
          </w:p>
        </w:tc>
        <w:tc>
          <w:tcPr>
            <w:tcW w:w="3094" w:type="dxa"/>
            <w:shd w:val="clear" w:color="auto" w:fill="FFFFFF" w:themeFill="background1"/>
            <w:tcMar>
              <w:left w:w="0" w:type="dxa"/>
              <w:right w:w="0" w:type="dxa"/>
            </w:tcMar>
            <w:vAlign w:val="center"/>
          </w:tcPr>
          <w:p w:rsidR="00E51332" w:rsidRDefault="00B767C7">
            <w:pPr>
              <w:widowControl/>
              <w:adjustRightInd w:val="0"/>
              <w:snapToGrid w:val="0"/>
              <w:spacing w:line="276" w:lineRule="auto"/>
              <w:ind w:firstLineChars="0" w:firstLine="0"/>
              <w:rPr>
                <w:rFonts w:ascii="仿宋_GB2312"/>
                <w:kern w:val="0"/>
                <w:sz w:val="28"/>
              </w:rPr>
            </w:pPr>
            <w:r>
              <w:rPr>
                <w:rFonts w:ascii="仿宋_GB2312" w:hint="eastAsia"/>
                <w:kern w:val="0"/>
                <w:sz w:val="28"/>
              </w:rPr>
              <w:t>视频终端接入数量（万路）</w:t>
            </w:r>
          </w:p>
        </w:tc>
        <w:tc>
          <w:tcPr>
            <w:tcW w:w="3444" w:type="dxa"/>
            <w:shd w:val="clear" w:color="auto" w:fill="FFFFFF" w:themeFill="background1"/>
            <w:vAlign w:val="center"/>
          </w:tcPr>
          <w:p w:rsidR="00E51332" w:rsidRDefault="00B767C7">
            <w:pPr>
              <w:widowControl/>
              <w:adjustRightInd w:val="0"/>
              <w:snapToGrid w:val="0"/>
              <w:spacing w:line="276" w:lineRule="auto"/>
              <w:ind w:firstLineChars="0" w:firstLine="0"/>
              <w:rPr>
                <w:rFonts w:ascii="仿宋_GB2312"/>
                <w:kern w:val="0"/>
                <w:sz w:val="28"/>
              </w:rPr>
            </w:pPr>
            <w:r>
              <w:rPr>
                <w:rFonts w:ascii="仿宋_GB2312" w:hint="eastAsia"/>
                <w:color w:val="000000"/>
                <w:kern w:val="0"/>
                <w:sz w:val="28"/>
              </w:rPr>
              <w:t>数据统计</w:t>
            </w:r>
          </w:p>
        </w:tc>
      </w:tr>
      <w:tr w:rsidR="00E51332">
        <w:trPr>
          <w:trHeight w:val="397"/>
        </w:trPr>
        <w:tc>
          <w:tcPr>
            <w:tcW w:w="714" w:type="dxa"/>
            <w:shd w:val="clear" w:color="auto" w:fill="auto"/>
            <w:tcMar>
              <w:left w:w="0" w:type="dxa"/>
              <w:right w:w="0" w:type="dxa"/>
            </w:tcMar>
            <w:vAlign w:val="center"/>
          </w:tcPr>
          <w:p w:rsidR="00E51332" w:rsidRDefault="00E51332">
            <w:pPr>
              <w:pStyle w:val="ae"/>
              <w:widowControl/>
              <w:numPr>
                <w:ilvl w:val="0"/>
                <w:numId w:val="6"/>
              </w:numPr>
              <w:snapToGrid w:val="0"/>
              <w:spacing w:line="276" w:lineRule="auto"/>
              <w:ind w:left="0" w:firstLineChars="0" w:firstLine="0"/>
              <w:jc w:val="center"/>
              <w:rPr>
                <w:kern w:val="0"/>
                <w:sz w:val="28"/>
              </w:rPr>
            </w:pPr>
          </w:p>
        </w:tc>
        <w:tc>
          <w:tcPr>
            <w:tcW w:w="1167" w:type="dxa"/>
            <w:vMerge/>
            <w:tcMar>
              <w:left w:w="0" w:type="dxa"/>
              <w:right w:w="0" w:type="dxa"/>
            </w:tcMar>
            <w:vAlign w:val="center"/>
          </w:tcPr>
          <w:p w:rsidR="00E51332" w:rsidRDefault="00E51332">
            <w:pPr>
              <w:widowControl/>
              <w:snapToGrid w:val="0"/>
              <w:spacing w:line="276" w:lineRule="auto"/>
              <w:ind w:firstLine="560"/>
              <w:jc w:val="center"/>
              <w:rPr>
                <w:rFonts w:ascii="仿宋_GB2312"/>
                <w:kern w:val="0"/>
                <w:sz w:val="28"/>
              </w:rPr>
            </w:pPr>
          </w:p>
        </w:tc>
        <w:tc>
          <w:tcPr>
            <w:tcW w:w="3094" w:type="dxa"/>
            <w:shd w:val="clear" w:color="auto" w:fill="FFFFFF" w:themeFill="background1"/>
            <w:tcMar>
              <w:left w:w="0" w:type="dxa"/>
              <w:right w:w="0" w:type="dxa"/>
            </w:tcMar>
            <w:vAlign w:val="center"/>
          </w:tcPr>
          <w:p w:rsidR="00E51332" w:rsidRDefault="00B767C7">
            <w:pPr>
              <w:widowControl/>
              <w:adjustRightInd w:val="0"/>
              <w:snapToGrid w:val="0"/>
              <w:spacing w:line="276" w:lineRule="auto"/>
              <w:ind w:firstLineChars="0" w:firstLine="0"/>
              <w:rPr>
                <w:rFonts w:ascii="仿宋_GB2312"/>
                <w:kern w:val="0"/>
                <w:sz w:val="28"/>
              </w:rPr>
            </w:pPr>
            <w:r>
              <w:rPr>
                <w:rFonts w:ascii="仿宋_GB2312" w:hint="eastAsia"/>
                <w:kern w:val="0"/>
                <w:sz w:val="28"/>
              </w:rPr>
              <w:t>感知终端接入数量（万路）</w:t>
            </w:r>
          </w:p>
        </w:tc>
        <w:tc>
          <w:tcPr>
            <w:tcW w:w="3444" w:type="dxa"/>
            <w:shd w:val="clear" w:color="auto" w:fill="FFFFFF" w:themeFill="background1"/>
            <w:vAlign w:val="center"/>
          </w:tcPr>
          <w:p w:rsidR="00E51332" w:rsidRDefault="00B767C7">
            <w:pPr>
              <w:widowControl/>
              <w:adjustRightInd w:val="0"/>
              <w:snapToGrid w:val="0"/>
              <w:spacing w:line="276" w:lineRule="auto"/>
              <w:ind w:firstLineChars="0" w:firstLine="0"/>
              <w:rPr>
                <w:rFonts w:ascii="仿宋_GB2312"/>
                <w:kern w:val="0"/>
                <w:sz w:val="28"/>
              </w:rPr>
            </w:pPr>
            <w:r>
              <w:rPr>
                <w:rFonts w:ascii="仿宋_GB2312" w:hint="eastAsia"/>
                <w:color w:val="000000"/>
                <w:kern w:val="0"/>
                <w:sz w:val="28"/>
              </w:rPr>
              <w:t>数据统计</w:t>
            </w:r>
          </w:p>
        </w:tc>
      </w:tr>
      <w:tr w:rsidR="00E51332">
        <w:trPr>
          <w:trHeight w:val="397"/>
        </w:trPr>
        <w:tc>
          <w:tcPr>
            <w:tcW w:w="714" w:type="dxa"/>
            <w:shd w:val="clear" w:color="auto" w:fill="auto"/>
            <w:tcMar>
              <w:left w:w="0" w:type="dxa"/>
              <w:right w:w="0" w:type="dxa"/>
            </w:tcMar>
            <w:vAlign w:val="center"/>
          </w:tcPr>
          <w:p w:rsidR="00E51332" w:rsidRDefault="00E51332">
            <w:pPr>
              <w:pStyle w:val="ae"/>
              <w:widowControl/>
              <w:numPr>
                <w:ilvl w:val="0"/>
                <w:numId w:val="6"/>
              </w:numPr>
              <w:snapToGrid w:val="0"/>
              <w:spacing w:line="276" w:lineRule="auto"/>
              <w:ind w:left="0" w:firstLineChars="0" w:firstLine="0"/>
              <w:jc w:val="center"/>
              <w:rPr>
                <w:kern w:val="0"/>
                <w:sz w:val="28"/>
              </w:rPr>
            </w:pPr>
          </w:p>
        </w:tc>
        <w:tc>
          <w:tcPr>
            <w:tcW w:w="1167" w:type="dxa"/>
            <w:vMerge w:val="restart"/>
            <w:shd w:val="clear" w:color="auto" w:fill="auto"/>
            <w:tcMar>
              <w:left w:w="0" w:type="dxa"/>
              <w:right w:w="0" w:type="dxa"/>
            </w:tcMar>
            <w:vAlign w:val="center"/>
          </w:tcPr>
          <w:p w:rsidR="00E51332" w:rsidRDefault="00B767C7">
            <w:pPr>
              <w:widowControl/>
              <w:snapToGrid w:val="0"/>
              <w:spacing w:line="276" w:lineRule="auto"/>
              <w:ind w:firstLineChars="0" w:firstLine="0"/>
              <w:rPr>
                <w:rFonts w:ascii="仿宋_GB2312"/>
                <w:kern w:val="0"/>
                <w:sz w:val="28"/>
              </w:rPr>
            </w:pPr>
            <w:r>
              <w:rPr>
                <w:rFonts w:ascii="仿宋_GB2312" w:hint="eastAsia"/>
                <w:kern w:val="0"/>
                <w:sz w:val="28"/>
              </w:rPr>
              <w:t>数字化驱动能力</w:t>
            </w:r>
          </w:p>
        </w:tc>
        <w:tc>
          <w:tcPr>
            <w:tcW w:w="3094" w:type="dxa"/>
            <w:shd w:val="clear" w:color="auto" w:fill="auto"/>
            <w:tcMar>
              <w:left w:w="0" w:type="dxa"/>
              <w:right w:w="0" w:type="dxa"/>
            </w:tcMar>
            <w:vAlign w:val="center"/>
          </w:tcPr>
          <w:p w:rsidR="00E51332" w:rsidRDefault="00B767C7">
            <w:pPr>
              <w:widowControl/>
              <w:adjustRightInd w:val="0"/>
              <w:snapToGrid w:val="0"/>
              <w:spacing w:line="276" w:lineRule="auto"/>
              <w:ind w:firstLineChars="0" w:firstLine="0"/>
              <w:rPr>
                <w:rFonts w:ascii="仿宋_GB2312"/>
                <w:kern w:val="0"/>
                <w:sz w:val="28"/>
              </w:rPr>
            </w:pPr>
            <w:r>
              <w:rPr>
                <w:rFonts w:ascii="仿宋_GB2312" w:hint="eastAsia"/>
                <w:kern w:val="0"/>
                <w:sz w:val="28"/>
              </w:rPr>
              <w:t>数据共享需求满足率（%）</w:t>
            </w:r>
          </w:p>
        </w:tc>
        <w:tc>
          <w:tcPr>
            <w:tcW w:w="3444" w:type="dxa"/>
            <w:vAlign w:val="center"/>
          </w:tcPr>
          <w:p w:rsidR="00E51332" w:rsidRDefault="00B767C7">
            <w:pPr>
              <w:widowControl/>
              <w:adjustRightInd w:val="0"/>
              <w:snapToGrid w:val="0"/>
              <w:spacing w:line="276" w:lineRule="auto"/>
              <w:ind w:firstLineChars="0" w:firstLine="0"/>
              <w:rPr>
                <w:rFonts w:ascii="仿宋_GB2312"/>
                <w:kern w:val="0"/>
                <w:sz w:val="28"/>
              </w:rPr>
            </w:pPr>
            <w:r>
              <w:rPr>
                <w:rFonts w:ascii="仿宋_GB2312" w:hint="eastAsia"/>
                <w:kern w:val="0"/>
                <w:sz w:val="28"/>
              </w:rPr>
              <w:t>部门确认的数据共享需求满足情况的数量/部门数据共享需求总数量</w:t>
            </w:r>
            <w:r>
              <w:rPr>
                <w:rFonts w:ascii="仿宋" w:eastAsia="仿宋" w:hAnsi="仿宋" w:hint="eastAsia"/>
                <w:color w:val="000000"/>
                <w:kern w:val="0"/>
                <w:sz w:val="28"/>
              </w:rPr>
              <w:t>×</w:t>
            </w:r>
            <w:r>
              <w:rPr>
                <w:rFonts w:ascii="仿宋_GB2312" w:hint="eastAsia"/>
                <w:kern w:val="0"/>
                <w:sz w:val="28"/>
              </w:rPr>
              <w:t>100%</w:t>
            </w:r>
          </w:p>
        </w:tc>
      </w:tr>
      <w:tr w:rsidR="00E51332">
        <w:trPr>
          <w:trHeight w:val="397"/>
        </w:trPr>
        <w:tc>
          <w:tcPr>
            <w:tcW w:w="714" w:type="dxa"/>
            <w:shd w:val="clear" w:color="auto" w:fill="auto"/>
            <w:tcMar>
              <w:left w:w="0" w:type="dxa"/>
              <w:right w:w="0" w:type="dxa"/>
            </w:tcMar>
            <w:vAlign w:val="center"/>
          </w:tcPr>
          <w:p w:rsidR="00E51332" w:rsidRDefault="00E51332">
            <w:pPr>
              <w:pStyle w:val="ae"/>
              <w:widowControl/>
              <w:numPr>
                <w:ilvl w:val="0"/>
                <w:numId w:val="6"/>
              </w:numPr>
              <w:snapToGrid w:val="0"/>
              <w:spacing w:line="276" w:lineRule="auto"/>
              <w:ind w:left="0" w:firstLineChars="0" w:firstLine="0"/>
              <w:jc w:val="center"/>
              <w:rPr>
                <w:kern w:val="0"/>
                <w:sz w:val="28"/>
              </w:rPr>
            </w:pPr>
          </w:p>
        </w:tc>
        <w:tc>
          <w:tcPr>
            <w:tcW w:w="1167" w:type="dxa"/>
            <w:vMerge/>
            <w:shd w:val="clear" w:color="auto" w:fill="auto"/>
            <w:tcMar>
              <w:left w:w="0" w:type="dxa"/>
              <w:right w:w="0" w:type="dxa"/>
            </w:tcMar>
            <w:vAlign w:val="center"/>
          </w:tcPr>
          <w:p w:rsidR="00E51332" w:rsidRDefault="00E51332">
            <w:pPr>
              <w:widowControl/>
              <w:snapToGrid w:val="0"/>
              <w:spacing w:line="276" w:lineRule="auto"/>
              <w:ind w:firstLine="560"/>
              <w:jc w:val="center"/>
              <w:rPr>
                <w:rFonts w:ascii="仿宋_GB2312"/>
                <w:kern w:val="0"/>
                <w:sz w:val="28"/>
              </w:rPr>
            </w:pPr>
          </w:p>
        </w:tc>
        <w:tc>
          <w:tcPr>
            <w:tcW w:w="3094" w:type="dxa"/>
            <w:shd w:val="clear" w:color="auto" w:fill="auto"/>
            <w:tcMar>
              <w:left w:w="0" w:type="dxa"/>
              <w:right w:w="0" w:type="dxa"/>
            </w:tcMar>
            <w:vAlign w:val="center"/>
          </w:tcPr>
          <w:p w:rsidR="00E51332" w:rsidRDefault="00B767C7">
            <w:pPr>
              <w:widowControl/>
              <w:adjustRightInd w:val="0"/>
              <w:snapToGrid w:val="0"/>
              <w:spacing w:line="276" w:lineRule="auto"/>
              <w:ind w:firstLineChars="0" w:firstLine="0"/>
              <w:rPr>
                <w:rFonts w:ascii="仿宋_GB2312"/>
                <w:kern w:val="0"/>
                <w:sz w:val="28"/>
              </w:rPr>
            </w:pPr>
            <w:r>
              <w:rPr>
                <w:rFonts w:ascii="仿宋_GB2312" w:hint="eastAsia"/>
                <w:kern w:val="0"/>
                <w:sz w:val="28"/>
              </w:rPr>
              <w:t>政府数字化覆盖率（%）</w:t>
            </w:r>
          </w:p>
        </w:tc>
        <w:tc>
          <w:tcPr>
            <w:tcW w:w="3444" w:type="dxa"/>
            <w:vAlign w:val="center"/>
          </w:tcPr>
          <w:p w:rsidR="00E51332" w:rsidRDefault="00B767C7">
            <w:pPr>
              <w:widowControl/>
              <w:adjustRightInd w:val="0"/>
              <w:snapToGrid w:val="0"/>
              <w:spacing w:line="276" w:lineRule="auto"/>
              <w:ind w:firstLineChars="0" w:firstLine="0"/>
              <w:rPr>
                <w:rFonts w:ascii="仿宋_GB2312"/>
                <w:kern w:val="0"/>
                <w:sz w:val="28"/>
              </w:rPr>
            </w:pPr>
            <w:r>
              <w:rPr>
                <w:rFonts w:ascii="仿宋_GB2312" w:hint="eastAsia"/>
                <w:color w:val="000000"/>
                <w:kern w:val="0"/>
                <w:sz w:val="28"/>
              </w:rPr>
              <w:t>数据统计</w:t>
            </w:r>
          </w:p>
        </w:tc>
      </w:tr>
      <w:tr w:rsidR="00E51332">
        <w:trPr>
          <w:trHeight w:val="397"/>
        </w:trPr>
        <w:tc>
          <w:tcPr>
            <w:tcW w:w="714" w:type="dxa"/>
            <w:shd w:val="clear" w:color="auto" w:fill="auto"/>
            <w:tcMar>
              <w:left w:w="0" w:type="dxa"/>
              <w:right w:w="0" w:type="dxa"/>
            </w:tcMar>
            <w:vAlign w:val="center"/>
          </w:tcPr>
          <w:p w:rsidR="00E51332" w:rsidRDefault="00E51332">
            <w:pPr>
              <w:pStyle w:val="ae"/>
              <w:widowControl/>
              <w:numPr>
                <w:ilvl w:val="0"/>
                <w:numId w:val="6"/>
              </w:numPr>
              <w:snapToGrid w:val="0"/>
              <w:spacing w:line="276" w:lineRule="auto"/>
              <w:ind w:left="0" w:firstLineChars="0" w:firstLine="0"/>
              <w:jc w:val="center"/>
              <w:rPr>
                <w:kern w:val="0"/>
                <w:sz w:val="28"/>
              </w:rPr>
            </w:pPr>
          </w:p>
        </w:tc>
        <w:tc>
          <w:tcPr>
            <w:tcW w:w="1167" w:type="dxa"/>
            <w:vMerge/>
            <w:shd w:val="clear" w:color="auto" w:fill="auto"/>
            <w:tcMar>
              <w:left w:w="0" w:type="dxa"/>
              <w:right w:w="0" w:type="dxa"/>
            </w:tcMar>
            <w:vAlign w:val="center"/>
          </w:tcPr>
          <w:p w:rsidR="00E51332" w:rsidRDefault="00E51332">
            <w:pPr>
              <w:widowControl/>
              <w:snapToGrid w:val="0"/>
              <w:spacing w:line="276" w:lineRule="auto"/>
              <w:ind w:firstLine="560"/>
              <w:jc w:val="center"/>
              <w:rPr>
                <w:rFonts w:ascii="仿宋_GB2312"/>
                <w:kern w:val="0"/>
                <w:sz w:val="28"/>
              </w:rPr>
            </w:pPr>
          </w:p>
        </w:tc>
        <w:tc>
          <w:tcPr>
            <w:tcW w:w="3094" w:type="dxa"/>
            <w:shd w:val="clear" w:color="auto" w:fill="auto"/>
            <w:tcMar>
              <w:left w:w="0" w:type="dxa"/>
              <w:right w:w="0" w:type="dxa"/>
            </w:tcMar>
            <w:vAlign w:val="center"/>
          </w:tcPr>
          <w:p w:rsidR="00E51332" w:rsidRDefault="00B767C7">
            <w:pPr>
              <w:widowControl/>
              <w:adjustRightInd w:val="0"/>
              <w:snapToGrid w:val="0"/>
              <w:spacing w:line="276" w:lineRule="auto"/>
              <w:ind w:firstLineChars="0" w:firstLine="0"/>
              <w:rPr>
                <w:rFonts w:ascii="仿宋_GB2312"/>
                <w:kern w:val="0"/>
                <w:sz w:val="28"/>
              </w:rPr>
            </w:pPr>
            <w:r>
              <w:rPr>
                <w:rFonts w:ascii="仿宋_GB2312" w:hint="eastAsia"/>
                <w:kern w:val="0"/>
                <w:sz w:val="28"/>
              </w:rPr>
              <w:t>数字化智能化应用场景（</w:t>
            </w:r>
            <w:proofErr w:type="gramStart"/>
            <w:r>
              <w:rPr>
                <w:rFonts w:ascii="仿宋_GB2312" w:hint="eastAsia"/>
                <w:kern w:val="0"/>
                <w:sz w:val="28"/>
              </w:rPr>
              <w:t>个</w:t>
            </w:r>
            <w:proofErr w:type="gramEnd"/>
            <w:r>
              <w:rPr>
                <w:rFonts w:ascii="仿宋_GB2312" w:hint="eastAsia"/>
                <w:kern w:val="0"/>
                <w:sz w:val="28"/>
              </w:rPr>
              <w:t>）</w:t>
            </w:r>
          </w:p>
        </w:tc>
        <w:tc>
          <w:tcPr>
            <w:tcW w:w="3444" w:type="dxa"/>
            <w:vAlign w:val="center"/>
          </w:tcPr>
          <w:p w:rsidR="00E51332" w:rsidRDefault="00B767C7">
            <w:pPr>
              <w:widowControl/>
              <w:adjustRightInd w:val="0"/>
              <w:snapToGrid w:val="0"/>
              <w:spacing w:line="276" w:lineRule="auto"/>
              <w:ind w:firstLineChars="0" w:firstLine="0"/>
              <w:rPr>
                <w:rFonts w:ascii="仿宋_GB2312"/>
                <w:kern w:val="0"/>
                <w:sz w:val="28"/>
              </w:rPr>
            </w:pPr>
            <w:r>
              <w:rPr>
                <w:rFonts w:ascii="仿宋_GB2312" w:hint="eastAsia"/>
                <w:color w:val="000000"/>
                <w:kern w:val="0"/>
                <w:sz w:val="28"/>
              </w:rPr>
              <w:t>数据统计</w:t>
            </w:r>
          </w:p>
        </w:tc>
      </w:tr>
      <w:tr w:rsidR="00E51332">
        <w:trPr>
          <w:trHeight w:val="397"/>
        </w:trPr>
        <w:tc>
          <w:tcPr>
            <w:tcW w:w="714" w:type="dxa"/>
            <w:shd w:val="clear" w:color="auto" w:fill="auto"/>
            <w:tcMar>
              <w:left w:w="0" w:type="dxa"/>
              <w:right w:w="0" w:type="dxa"/>
            </w:tcMar>
            <w:vAlign w:val="center"/>
          </w:tcPr>
          <w:p w:rsidR="00E51332" w:rsidRDefault="00E51332">
            <w:pPr>
              <w:pStyle w:val="ae"/>
              <w:widowControl/>
              <w:numPr>
                <w:ilvl w:val="0"/>
                <w:numId w:val="6"/>
              </w:numPr>
              <w:snapToGrid w:val="0"/>
              <w:spacing w:line="276" w:lineRule="auto"/>
              <w:ind w:left="0" w:firstLineChars="0" w:firstLine="0"/>
              <w:jc w:val="center"/>
              <w:rPr>
                <w:kern w:val="0"/>
                <w:sz w:val="28"/>
              </w:rPr>
            </w:pPr>
          </w:p>
        </w:tc>
        <w:tc>
          <w:tcPr>
            <w:tcW w:w="1167" w:type="dxa"/>
            <w:vMerge/>
            <w:shd w:val="clear" w:color="auto" w:fill="auto"/>
            <w:tcMar>
              <w:left w:w="0" w:type="dxa"/>
              <w:right w:w="0" w:type="dxa"/>
            </w:tcMar>
            <w:vAlign w:val="center"/>
          </w:tcPr>
          <w:p w:rsidR="00E51332" w:rsidRDefault="00E51332">
            <w:pPr>
              <w:widowControl/>
              <w:snapToGrid w:val="0"/>
              <w:spacing w:line="276" w:lineRule="auto"/>
              <w:ind w:firstLine="560"/>
              <w:jc w:val="center"/>
              <w:rPr>
                <w:rFonts w:ascii="仿宋_GB2312"/>
                <w:kern w:val="0"/>
                <w:sz w:val="28"/>
              </w:rPr>
            </w:pPr>
          </w:p>
        </w:tc>
        <w:tc>
          <w:tcPr>
            <w:tcW w:w="3094" w:type="dxa"/>
            <w:shd w:val="clear" w:color="auto" w:fill="auto"/>
            <w:tcMar>
              <w:left w:w="0" w:type="dxa"/>
              <w:right w:w="0" w:type="dxa"/>
            </w:tcMar>
            <w:vAlign w:val="center"/>
          </w:tcPr>
          <w:p w:rsidR="00E51332" w:rsidRDefault="00B767C7">
            <w:pPr>
              <w:widowControl/>
              <w:adjustRightInd w:val="0"/>
              <w:snapToGrid w:val="0"/>
              <w:spacing w:line="276" w:lineRule="auto"/>
              <w:ind w:firstLineChars="0" w:firstLine="0"/>
              <w:rPr>
                <w:rFonts w:ascii="仿宋_GB2312"/>
                <w:kern w:val="0"/>
                <w:sz w:val="28"/>
              </w:rPr>
            </w:pPr>
            <w:r>
              <w:rPr>
                <w:rFonts w:ascii="仿宋_GB2312" w:hint="eastAsia"/>
                <w:kern w:val="0"/>
                <w:sz w:val="28"/>
              </w:rPr>
              <w:t>公共数据资源社会开放数据集（</w:t>
            </w:r>
            <w:proofErr w:type="gramStart"/>
            <w:r>
              <w:rPr>
                <w:rFonts w:ascii="仿宋_GB2312" w:hint="eastAsia"/>
                <w:kern w:val="0"/>
                <w:sz w:val="28"/>
              </w:rPr>
              <w:t>个</w:t>
            </w:r>
            <w:proofErr w:type="gramEnd"/>
            <w:r>
              <w:rPr>
                <w:rFonts w:ascii="仿宋_GB2312" w:hint="eastAsia"/>
                <w:kern w:val="0"/>
                <w:sz w:val="28"/>
              </w:rPr>
              <w:t>）</w:t>
            </w:r>
          </w:p>
        </w:tc>
        <w:tc>
          <w:tcPr>
            <w:tcW w:w="3444" w:type="dxa"/>
            <w:vAlign w:val="center"/>
          </w:tcPr>
          <w:p w:rsidR="00E51332" w:rsidRDefault="00B767C7">
            <w:pPr>
              <w:widowControl/>
              <w:adjustRightInd w:val="0"/>
              <w:snapToGrid w:val="0"/>
              <w:spacing w:line="276" w:lineRule="auto"/>
              <w:ind w:firstLineChars="0" w:firstLine="0"/>
              <w:rPr>
                <w:rFonts w:ascii="仿宋_GB2312"/>
                <w:kern w:val="0"/>
                <w:sz w:val="28"/>
              </w:rPr>
            </w:pPr>
            <w:r>
              <w:rPr>
                <w:rFonts w:ascii="仿宋_GB2312" w:hint="eastAsia"/>
                <w:color w:val="000000"/>
                <w:kern w:val="0"/>
                <w:sz w:val="28"/>
              </w:rPr>
              <w:t>数据统计</w:t>
            </w:r>
          </w:p>
        </w:tc>
      </w:tr>
      <w:tr w:rsidR="00E51332">
        <w:trPr>
          <w:trHeight w:val="397"/>
        </w:trPr>
        <w:tc>
          <w:tcPr>
            <w:tcW w:w="714" w:type="dxa"/>
            <w:shd w:val="clear" w:color="auto" w:fill="auto"/>
            <w:tcMar>
              <w:left w:w="0" w:type="dxa"/>
              <w:right w:w="0" w:type="dxa"/>
            </w:tcMar>
            <w:vAlign w:val="center"/>
          </w:tcPr>
          <w:p w:rsidR="00E51332" w:rsidRDefault="00E51332">
            <w:pPr>
              <w:pStyle w:val="ae"/>
              <w:widowControl/>
              <w:numPr>
                <w:ilvl w:val="0"/>
                <w:numId w:val="6"/>
              </w:numPr>
              <w:snapToGrid w:val="0"/>
              <w:spacing w:line="276" w:lineRule="auto"/>
              <w:ind w:left="0" w:firstLineChars="0" w:firstLine="0"/>
              <w:jc w:val="center"/>
              <w:rPr>
                <w:kern w:val="0"/>
                <w:sz w:val="28"/>
              </w:rPr>
            </w:pPr>
          </w:p>
        </w:tc>
        <w:tc>
          <w:tcPr>
            <w:tcW w:w="1167" w:type="dxa"/>
            <w:vMerge w:val="restart"/>
            <w:shd w:val="clear" w:color="auto" w:fill="auto"/>
            <w:tcMar>
              <w:left w:w="0" w:type="dxa"/>
              <w:right w:w="0" w:type="dxa"/>
            </w:tcMar>
            <w:vAlign w:val="center"/>
          </w:tcPr>
          <w:p w:rsidR="00E51332" w:rsidRDefault="00B767C7">
            <w:pPr>
              <w:widowControl/>
              <w:snapToGrid w:val="0"/>
              <w:spacing w:line="276" w:lineRule="auto"/>
              <w:ind w:firstLineChars="0" w:firstLine="0"/>
              <w:rPr>
                <w:rFonts w:ascii="仿宋_GB2312"/>
                <w:kern w:val="0"/>
                <w:sz w:val="28"/>
              </w:rPr>
            </w:pPr>
            <w:r>
              <w:rPr>
                <w:rFonts w:ascii="仿宋_GB2312" w:hint="eastAsia"/>
                <w:kern w:val="0"/>
                <w:sz w:val="28"/>
              </w:rPr>
              <w:t>数字化支撑能力</w:t>
            </w:r>
          </w:p>
        </w:tc>
        <w:tc>
          <w:tcPr>
            <w:tcW w:w="3094" w:type="dxa"/>
            <w:shd w:val="clear" w:color="auto" w:fill="auto"/>
            <w:tcMar>
              <w:left w:w="0" w:type="dxa"/>
              <w:right w:w="0" w:type="dxa"/>
            </w:tcMar>
            <w:vAlign w:val="center"/>
          </w:tcPr>
          <w:p w:rsidR="00E51332" w:rsidRDefault="00B767C7">
            <w:pPr>
              <w:widowControl/>
              <w:adjustRightInd w:val="0"/>
              <w:snapToGrid w:val="0"/>
              <w:spacing w:line="276" w:lineRule="auto"/>
              <w:ind w:firstLineChars="0" w:firstLine="0"/>
              <w:rPr>
                <w:rFonts w:ascii="仿宋_GB2312"/>
                <w:kern w:val="0"/>
                <w:sz w:val="28"/>
              </w:rPr>
            </w:pPr>
            <w:r>
              <w:rPr>
                <w:rFonts w:ascii="仿宋_GB2312" w:hint="eastAsia"/>
                <w:kern w:val="0"/>
                <w:sz w:val="28"/>
              </w:rPr>
              <w:t>政务</w:t>
            </w:r>
            <w:proofErr w:type="gramStart"/>
            <w:r>
              <w:rPr>
                <w:rFonts w:ascii="仿宋_GB2312" w:hint="eastAsia"/>
                <w:kern w:val="0"/>
                <w:sz w:val="28"/>
              </w:rPr>
              <w:t>云资源算力</w:t>
            </w:r>
            <w:proofErr w:type="gramEnd"/>
            <w:r>
              <w:rPr>
                <w:rFonts w:ascii="仿宋_GB2312" w:hint="eastAsia"/>
                <w:kern w:val="0"/>
                <w:sz w:val="28"/>
              </w:rPr>
              <w:t>规模（万核）</w:t>
            </w:r>
          </w:p>
        </w:tc>
        <w:tc>
          <w:tcPr>
            <w:tcW w:w="3444" w:type="dxa"/>
            <w:vAlign w:val="center"/>
          </w:tcPr>
          <w:p w:rsidR="00E51332" w:rsidRDefault="00B767C7">
            <w:pPr>
              <w:widowControl/>
              <w:adjustRightInd w:val="0"/>
              <w:snapToGrid w:val="0"/>
              <w:spacing w:line="276" w:lineRule="auto"/>
              <w:ind w:firstLineChars="0" w:firstLine="0"/>
              <w:rPr>
                <w:rFonts w:ascii="仿宋_GB2312"/>
                <w:kern w:val="0"/>
                <w:sz w:val="28"/>
              </w:rPr>
            </w:pPr>
            <w:r>
              <w:rPr>
                <w:rFonts w:ascii="仿宋_GB2312" w:hint="eastAsia"/>
                <w:color w:val="000000"/>
                <w:kern w:val="0"/>
                <w:sz w:val="28"/>
              </w:rPr>
              <w:t>数据统计</w:t>
            </w:r>
          </w:p>
        </w:tc>
      </w:tr>
      <w:tr w:rsidR="00E51332">
        <w:trPr>
          <w:trHeight w:val="397"/>
        </w:trPr>
        <w:tc>
          <w:tcPr>
            <w:tcW w:w="714" w:type="dxa"/>
            <w:shd w:val="clear" w:color="auto" w:fill="auto"/>
            <w:tcMar>
              <w:left w:w="0" w:type="dxa"/>
              <w:right w:w="0" w:type="dxa"/>
            </w:tcMar>
            <w:vAlign w:val="center"/>
          </w:tcPr>
          <w:p w:rsidR="00E51332" w:rsidRDefault="00E51332">
            <w:pPr>
              <w:pStyle w:val="ae"/>
              <w:widowControl/>
              <w:numPr>
                <w:ilvl w:val="0"/>
                <w:numId w:val="6"/>
              </w:numPr>
              <w:snapToGrid w:val="0"/>
              <w:spacing w:line="276" w:lineRule="auto"/>
              <w:ind w:left="0" w:firstLineChars="0" w:firstLine="0"/>
              <w:jc w:val="center"/>
              <w:rPr>
                <w:kern w:val="0"/>
                <w:sz w:val="28"/>
              </w:rPr>
            </w:pPr>
          </w:p>
        </w:tc>
        <w:tc>
          <w:tcPr>
            <w:tcW w:w="1167" w:type="dxa"/>
            <w:vMerge/>
            <w:tcMar>
              <w:left w:w="0" w:type="dxa"/>
              <w:right w:w="0" w:type="dxa"/>
            </w:tcMar>
            <w:vAlign w:val="center"/>
          </w:tcPr>
          <w:p w:rsidR="00E51332" w:rsidRDefault="00E51332">
            <w:pPr>
              <w:widowControl/>
              <w:snapToGrid w:val="0"/>
              <w:spacing w:line="276" w:lineRule="auto"/>
              <w:ind w:firstLine="560"/>
              <w:jc w:val="center"/>
              <w:rPr>
                <w:rFonts w:ascii="仿宋_GB2312"/>
                <w:kern w:val="0"/>
                <w:sz w:val="28"/>
              </w:rPr>
            </w:pPr>
          </w:p>
        </w:tc>
        <w:tc>
          <w:tcPr>
            <w:tcW w:w="3094" w:type="dxa"/>
            <w:shd w:val="clear" w:color="auto" w:fill="auto"/>
            <w:tcMar>
              <w:left w:w="0" w:type="dxa"/>
              <w:right w:w="0" w:type="dxa"/>
            </w:tcMar>
            <w:vAlign w:val="center"/>
          </w:tcPr>
          <w:p w:rsidR="00E51332" w:rsidRDefault="00B767C7">
            <w:pPr>
              <w:widowControl/>
              <w:adjustRightInd w:val="0"/>
              <w:snapToGrid w:val="0"/>
              <w:spacing w:line="276" w:lineRule="auto"/>
              <w:ind w:firstLineChars="0" w:firstLine="0"/>
              <w:rPr>
                <w:rFonts w:ascii="仿宋_GB2312"/>
                <w:kern w:val="0"/>
                <w:sz w:val="28"/>
              </w:rPr>
            </w:pPr>
            <w:r>
              <w:rPr>
                <w:rFonts w:ascii="仿宋_GB2312" w:hint="eastAsia"/>
                <w:kern w:val="0"/>
                <w:sz w:val="28"/>
              </w:rPr>
              <w:t>政务外网接入率（%）</w:t>
            </w:r>
          </w:p>
        </w:tc>
        <w:tc>
          <w:tcPr>
            <w:tcW w:w="3444" w:type="dxa"/>
            <w:vAlign w:val="center"/>
          </w:tcPr>
          <w:p w:rsidR="00E51332" w:rsidRDefault="00B767C7">
            <w:pPr>
              <w:widowControl/>
              <w:adjustRightInd w:val="0"/>
              <w:snapToGrid w:val="0"/>
              <w:spacing w:line="276" w:lineRule="auto"/>
              <w:ind w:firstLineChars="0" w:firstLine="0"/>
              <w:rPr>
                <w:rFonts w:ascii="仿宋_GB2312"/>
                <w:kern w:val="0"/>
                <w:sz w:val="28"/>
              </w:rPr>
            </w:pPr>
            <w:r>
              <w:rPr>
                <w:rFonts w:ascii="仿宋_GB2312" w:hint="eastAsia"/>
                <w:color w:val="000000"/>
                <w:kern w:val="0"/>
                <w:sz w:val="28"/>
              </w:rPr>
              <w:t>财政预算单位接入数量/财政预算单位总数</w:t>
            </w:r>
            <w:r>
              <w:rPr>
                <w:rFonts w:ascii="仿宋" w:eastAsia="仿宋" w:hAnsi="仿宋" w:hint="eastAsia"/>
                <w:color w:val="000000"/>
                <w:kern w:val="0"/>
                <w:sz w:val="28"/>
              </w:rPr>
              <w:t>×</w:t>
            </w:r>
            <w:r>
              <w:rPr>
                <w:rFonts w:ascii="仿宋_GB2312" w:hint="eastAsia"/>
                <w:color w:val="000000"/>
                <w:kern w:val="0"/>
                <w:sz w:val="28"/>
              </w:rPr>
              <w:t>100%</w:t>
            </w:r>
          </w:p>
        </w:tc>
      </w:tr>
      <w:tr w:rsidR="00E51332">
        <w:trPr>
          <w:trHeight w:val="397"/>
        </w:trPr>
        <w:tc>
          <w:tcPr>
            <w:tcW w:w="714" w:type="dxa"/>
            <w:shd w:val="clear" w:color="auto" w:fill="auto"/>
            <w:tcMar>
              <w:left w:w="0" w:type="dxa"/>
              <w:right w:w="0" w:type="dxa"/>
            </w:tcMar>
            <w:vAlign w:val="center"/>
          </w:tcPr>
          <w:p w:rsidR="00E51332" w:rsidRDefault="00E51332">
            <w:pPr>
              <w:pStyle w:val="ae"/>
              <w:widowControl/>
              <w:numPr>
                <w:ilvl w:val="0"/>
                <w:numId w:val="6"/>
              </w:numPr>
              <w:snapToGrid w:val="0"/>
              <w:spacing w:line="276" w:lineRule="auto"/>
              <w:ind w:left="0" w:firstLineChars="0" w:firstLine="0"/>
              <w:jc w:val="center"/>
              <w:rPr>
                <w:kern w:val="0"/>
                <w:sz w:val="28"/>
              </w:rPr>
            </w:pPr>
          </w:p>
        </w:tc>
        <w:tc>
          <w:tcPr>
            <w:tcW w:w="1167" w:type="dxa"/>
            <w:vMerge/>
            <w:tcMar>
              <w:left w:w="0" w:type="dxa"/>
              <w:right w:w="0" w:type="dxa"/>
            </w:tcMar>
            <w:vAlign w:val="center"/>
          </w:tcPr>
          <w:p w:rsidR="00E51332" w:rsidRDefault="00E51332">
            <w:pPr>
              <w:widowControl/>
              <w:snapToGrid w:val="0"/>
              <w:spacing w:line="276" w:lineRule="auto"/>
              <w:ind w:firstLine="560"/>
              <w:jc w:val="center"/>
              <w:rPr>
                <w:rFonts w:ascii="仿宋_GB2312"/>
                <w:kern w:val="0"/>
                <w:sz w:val="28"/>
              </w:rPr>
            </w:pPr>
          </w:p>
        </w:tc>
        <w:tc>
          <w:tcPr>
            <w:tcW w:w="3094" w:type="dxa"/>
            <w:shd w:val="clear" w:color="auto" w:fill="auto"/>
            <w:tcMar>
              <w:left w:w="0" w:type="dxa"/>
              <w:right w:w="0" w:type="dxa"/>
            </w:tcMar>
            <w:vAlign w:val="center"/>
          </w:tcPr>
          <w:p w:rsidR="00E51332" w:rsidRDefault="00B767C7">
            <w:pPr>
              <w:widowControl/>
              <w:adjustRightInd w:val="0"/>
              <w:snapToGrid w:val="0"/>
              <w:spacing w:line="276" w:lineRule="auto"/>
              <w:ind w:firstLineChars="0" w:firstLine="0"/>
              <w:rPr>
                <w:rFonts w:ascii="仿宋_GB2312"/>
                <w:kern w:val="0"/>
                <w:sz w:val="28"/>
              </w:rPr>
            </w:pPr>
            <w:r>
              <w:rPr>
                <w:rFonts w:ascii="仿宋_GB2312" w:hint="eastAsia"/>
                <w:kern w:val="0"/>
                <w:sz w:val="28"/>
              </w:rPr>
              <w:t>电子证</w:t>
            </w:r>
            <w:proofErr w:type="gramStart"/>
            <w:r>
              <w:rPr>
                <w:rFonts w:ascii="仿宋_GB2312" w:hint="eastAsia"/>
                <w:kern w:val="0"/>
                <w:sz w:val="28"/>
              </w:rPr>
              <w:t>照用证</w:t>
            </w:r>
            <w:proofErr w:type="gramEnd"/>
            <w:r>
              <w:rPr>
                <w:rFonts w:ascii="仿宋_GB2312" w:hint="eastAsia"/>
                <w:kern w:val="0"/>
                <w:sz w:val="28"/>
              </w:rPr>
              <w:t>率（%）</w:t>
            </w:r>
          </w:p>
        </w:tc>
        <w:tc>
          <w:tcPr>
            <w:tcW w:w="3444" w:type="dxa"/>
            <w:vAlign w:val="center"/>
          </w:tcPr>
          <w:p w:rsidR="00E51332" w:rsidRDefault="00B767C7">
            <w:pPr>
              <w:widowControl/>
              <w:adjustRightInd w:val="0"/>
              <w:snapToGrid w:val="0"/>
              <w:spacing w:line="276" w:lineRule="auto"/>
              <w:ind w:firstLineChars="0" w:firstLine="0"/>
              <w:rPr>
                <w:rFonts w:ascii="仿宋_GB2312"/>
                <w:kern w:val="0"/>
                <w:sz w:val="28"/>
              </w:rPr>
            </w:pPr>
            <w:r>
              <w:rPr>
                <w:rFonts w:ascii="仿宋_GB2312" w:hint="eastAsia"/>
                <w:kern w:val="0"/>
                <w:sz w:val="28"/>
              </w:rPr>
              <w:t>使用电子证照行政许可的事项数/行政许可事项数</w:t>
            </w:r>
            <w:r>
              <w:rPr>
                <w:rFonts w:ascii="仿宋" w:eastAsia="仿宋" w:hAnsi="仿宋" w:hint="eastAsia"/>
                <w:color w:val="000000"/>
                <w:kern w:val="0"/>
                <w:sz w:val="28"/>
              </w:rPr>
              <w:t>×</w:t>
            </w:r>
            <w:r>
              <w:rPr>
                <w:rFonts w:ascii="仿宋_GB2312" w:hint="eastAsia"/>
                <w:kern w:val="0"/>
                <w:sz w:val="28"/>
              </w:rPr>
              <w:t>100%</w:t>
            </w:r>
          </w:p>
        </w:tc>
      </w:tr>
      <w:tr w:rsidR="00E51332">
        <w:trPr>
          <w:trHeight w:val="397"/>
        </w:trPr>
        <w:tc>
          <w:tcPr>
            <w:tcW w:w="714" w:type="dxa"/>
            <w:shd w:val="clear" w:color="auto" w:fill="auto"/>
            <w:tcMar>
              <w:left w:w="0" w:type="dxa"/>
              <w:right w:w="0" w:type="dxa"/>
            </w:tcMar>
            <w:vAlign w:val="center"/>
          </w:tcPr>
          <w:p w:rsidR="00E51332" w:rsidRDefault="00E51332">
            <w:pPr>
              <w:pStyle w:val="ae"/>
              <w:widowControl/>
              <w:numPr>
                <w:ilvl w:val="0"/>
                <w:numId w:val="6"/>
              </w:numPr>
              <w:snapToGrid w:val="0"/>
              <w:spacing w:line="276" w:lineRule="auto"/>
              <w:ind w:left="0" w:firstLineChars="0" w:firstLine="0"/>
              <w:jc w:val="center"/>
              <w:rPr>
                <w:kern w:val="0"/>
                <w:sz w:val="28"/>
              </w:rPr>
            </w:pPr>
          </w:p>
        </w:tc>
        <w:tc>
          <w:tcPr>
            <w:tcW w:w="1167" w:type="dxa"/>
            <w:vMerge/>
            <w:tcMar>
              <w:left w:w="0" w:type="dxa"/>
              <w:right w:w="0" w:type="dxa"/>
            </w:tcMar>
            <w:vAlign w:val="center"/>
          </w:tcPr>
          <w:p w:rsidR="00E51332" w:rsidRDefault="00E51332">
            <w:pPr>
              <w:widowControl/>
              <w:snapToGrid w:val="0"/>
              <w:spacing w:line="276" w:lineRule="auto"/>
              <w:ind w:firstLine="560"/>
              <w:jc w:val="center"/>
              <w:rPr>
                <w:rFonts w:ascii="仿宋_GB2312"/>
                <w:kern w:val="0"/>
                <w:sz w:val="28"/>
              </w:rPr>
            </w:pPr>
          </w:p>
        </w:tc>
        <w:tc>
          <w:tcPr>
            <w:tcW w:w="3094" w:type="dxa"/>
            <w:shd w:val="clear" w:color="auto" w:fill="auto"/>
            <w:tcMar>
              <w:left w:w="0" w:type="dxa"/>
              <w:right w:w="0" w:type="dxa"/>
            </w:tcMar>
            <w:vAlign w:val="center"/>
          </w:tcPr>
          <w:p w:rsidR="00E51332" w:rsidRDefault="00B767C7">
            <w:pPr>
              <w:widowControl/>
              <w:adjustRightInd w:val="0"/>
              <w:snapToGrid w:val="0"/>
              <w:spacing w:line="276" w:lineRule="auto"/>
              <w:ind w:firstLineChars="0" w:firstLine="0"/>
              <w:rPr>
                <w:rFonts w:ascii="仿宋_GB2312"/>
                <w:kern w:val="0"/>
                <w:sz w:val="28"/>
              </w:rPr>
            </w:pPr>
            <w:r>
              <w:rPr>
                <w:rFonts w:ascii="仿宋_GB2312" w:hint="eastAsia"/>
                <w:kern w:val="0"/>
                <w:sz w:val="28"/>
              </w:rPr>
              <w:t>政府部门电子印章覆盖率（%）</w:t>
            </w:r>
          </w:p>
        </w:tc>
        <w:tc>
          <w:tcPr>
            <w:tcW w:w="3444" w:type="dxa"/>
            <w:vAlign w:val="center"/>
          </w:tcPr>
          <w:p w:rsidR="00E51332" w:rsidRDefault="00B767C7">
            <w:pPr>
              <w:widowControl/>
              <w:adjustRightInd w:val="0"/>
              <w:snapToGrid w:val="0"/>
              <w:spacing w:line="276" w:lineRule="auto"/>
              <w:ind w:firstLineChars="0" w:firstLine="0"/>
              <w:rPr>
                <w:rFonts w:ascii="仿宋_GB2312"/>
                <w:kern w:val="0"/>
                <w:sz w:val="28"/>
              </w:rPr>
            </w:pPr>
            <w:r>
              <w:rPr>
                <w:rFonts w:ascii="仿宋_GB2312" w:hint="eastAsia"/>
                <w:kern w:val="0"/>
                <w:sz w:val="28"/>
              </w:rPr>
              <w:t>已制发电子印章的部门数/部门总数</w:t>
            </w:r>
            <w:r>
              <w:rPr>
                <w:rFonts w:ascii="仿宋" w:eastAsia="仿宋" w:hAnsi="仿宋" w:hint="eastAsia"/>
                <w:color w:val="000000"/>
                <w:kern w:val="0"/>
                <w:sz w:val="28"/>
              </w:rPr>
              <w:t>×</w:t>
            </w:r>
            <w:r>
              <w:rPr>
                <w:rFonts w:ascii="仿宋_GB2312" w:hint="eastAsia"/>
                <w:kern w:val="0"/>
                <w:sz w:val="28"/>
              </w:rPr>
              <w:t>100%</w:t>
            </w:r>
          </w:p>
        </w:tc>
      </w:tr>
      <w:tr w:rsidR="00E51332">
        <w:trPr>
          <w:trHeight w:val="397"/>
        </w:trPr>
        <w:tc>
          <w:tcPr>
            <w:tcW w:w="714" w:type="dxa"/>
            <w:shd w:val="clear" w:color="auto" w:fill="auto"/>
            <w:tcMar>
              <w:left w:w="0" w:type="dxa"/>
              <w:right w:w="0" w:type="dxa"/>
            </w:tcMar>
            <w:vAlign w:val="center"/>
          </w:tcPr>
          <w:p w:rsidR="00E51332" w:rsidRDefault="00E51332">
            <w:pPr>
              <w:pStyle w:val="ae"/>
              <w:widowControl/>
              <w:numPr>
                <w:ilvl w:val="0"/>
                <w:numId w:val="6"/>
              </w:numPr>
              <w:snapToGrid w:val="0"/>
              <w:spacing w:line="276" w:lineRule="auto"/>
              <w:ind w:left="0" w:firstLineChars="0" w:firstLine="0"/>
              <w:jc w:val="center"/>
              <w:rPr>
                <w:kern w:val="0"/>
                <w:sz w:val="28"/>
              </w:rPr>
            </w:pPr>
          </w:p>
        </w:tc>
        <w:tc>
          <w:tcPr>
            <w:tcW w:w="1167" w:type="dxa"/>
            <w:vMerge/>
            <w:tcMar>
              <w:left w:w="0" w:type="dxa"/>
              <w:right w:w="0" w:type="dxa"/>
            </w:tcMar>
            <w:vAlign w:val="center"/>
          </w:tcPr>
          <w:p w:rsidR="00E51332" w:rsidRDefault="00E51332">
            <w:pPr>
              <w:widowControl/>
              <w:snapToGrid w:val="0"/>
              <w:spacing w:line="276" w:lineRule="auto"/>
              <w:ind w:firstLine="560"/>
              <w:jc w:val="center"/>
              <w:rPr>
                <w:rFonts w:ascii="仿宋_GB2312"/>
                <w:kern w:val="0"/>
                <w:sz w:val="28"/>
              </w:rPr>
            </w:pPr>
          </w:p>
        </w:tc>
        <w:tc>
          <w:tcPr>
            <w:tcW w:w="3094" w:type="dxa"/>
            <w:shd w:val="clear" w:color="auto" w:fill="auto"/>
            <w:tcMar>
              <w:left w:w="0" w:type="dxa"/>
              <w:right w:w="0" w:type="dxa"/>
            </w:tcMar>
            <w:vAlign w:val="center"/>
          </w:tcPr>
          <w:p w:rsidR="00E51332" w:rsidRDefault="00B767C7">
            <w:pPr>
              <w:widowControl/>
              <w:adjustRightInd w:val="0"/>
              <w:snapToGrid w:val="0"/>
              <w:spacing w:line="276" w:lineRule="auto"/>
              <w:ind w:firstLineChars="0" w:firstLine="0"/>
              <w:rPr>
                <w:rFonts w:ascii="仿宋_GB2312"/>
                <w:kern w:val="0"/>
                <w:sz w:val="28"/>
              </w:rPr>
            </w:pPr>
            <w:r>
              <w:rPr>
                <w:rFonts w:ascii="仿宋_GB2312" w:hint="eastAsia"/>
                <w:kern w:val="0"/>
                <w:sz w:val="28"/>
              </w:rPr>
              <w:t>一体化政务服务平台</w:t>
            </w:r>
            <w:proofErr w:type="gramStart"/>
            <w:r>
              <w:rPr>
                <w:rFonts w:ascii="仿宋_GB2312" w:hint="eastAsia"/>
                <w:kern w:val="0"/>
                <w:sz w:val="28"/>
              </w:rPr>
              <w:t>可网办事</w:t>
            </w:r>
            <w:proofErr w:type="gramEnd"/>
            <w:r>
              <w:rPr>
                <w:rFonts w:ascii="仿宋_GB2312" w:hint="eastAsia"/>
                <w:kern w:val="0"/>
                <w:sz w:val="28"/>
              </w:rPr>
              <w:t>项单点登录率（%）</w:t>
            </w:r>
          </w:p>
        </w:tc>
        <w:tc>
          <w:tcPr>
            <w:tcW w:w="3444" w:type="dxa"/>
            <w:vAlign w:val="center"/>
          </w:tcPr>
          <w:p w:rsidR="00E51332" w:rsidRDefault="00B767C7">
            <w:pPr>
              <w:widowControl/>
              <w:adjustRightInd w:val="0"/>
              <w:snapToGrid w:val="0"/>
              <w:spacing w:line="276" w:lineRule="auto"/>
              <w:ind w:firstLineChars="0" w:firstLine="0"/>
              <w:rPr>
                <w:rFonts w:ascii="仿宋_GB2312"/>
                <w:kern w:val="0"/>
                <w:sz w:val="28"/>
              </w:rPr>
            </w:pPr>
            <w:r>
              <w:rPr>
                <w:rFonts w:ascii="仿宋_GB2312" w:hint="eastAsia"/>
                <w:kern w:val="0"/>
                <w:sz w:val="28"/>
              </w:rPr>
              <w:t>一体化政务服务平台可单点的事项数/事项总数</w:t>
            </w:r>
            <w:r>
              <w:rPr>
                <w:rFonts w:ascii="仿宋" w:eastAsia="仿宋" w:hAnsi="仿宋" w:hint="eastAsia"/>
                <w:color w:val="000000"/>
                <w:kern w:val="0"/>
                <w:sz w:val="28"/>
              </w:rPr>
              <w:t>×</w:t>
            </w:r>
            <w:r>
              <w:rPr>
                <w:rFonts w:ascii="仿宋_GB2312" w:hint="eastAsia"/>
                <w:kern w:val="0"/>
                <w:sz w:val="28"/>
              </w:rPr>
              <w:t>100%</w:t>
            </w:r>
          </w:p>
        </w:tc>
      </w:tr>
      <w:tr w:rsidR="00E51332">
        <w:trPr>
          <w:trHeight w:val="397"/>
        </w:trPr>
        <w:tc>
          <w:tcPr>
            <w:tcW w:w="714" w:type="dxa"/>
            <w:shd w:val="clear" w:color="auto" w:fill="auto"/>
            <w:tcMar>
              <w:left w:w="0" w:type="dxa"/>
              <w:right w:w="0" w:type="dxa"/>
            </w:tcMar>
            <w:vAlign w:val="center"/>
          </w:tcPr>
          <w:p w:rsidR="00E51332" w:rsidRDefault="00E51332">
            <w:pPr>
              <w:pStyle w:val="ae"/>
              <w:widowControl/>
              <w:numPr>
                <w:ilvl w:val="0"/>
                <w:numId w:val="6"/>
              </w:numPr>
              <w:snapToGrid w:val="0"/>
              <w:spacing w:line="276" w:lineRule="auto"/>
              <w:ind w:left="0" w:firstLineChars="0" w:firstLine="0"/>
              <w:jc w:val="center"/>
              <w:rPr>
                <w:kern w:val="0"/>
                <w:sz w:val="28"/>
              </w:rPr>
            </w:pPr>
          </w:p>
        </w:tc>
        <w:tc>
          <w:tcPr>
            <w:tcW w:w="1167" w:type="dxa"/>
            <w:vMerge/>
            <w:tcMar>
              <w:left w:w="0" w:type="dxa"/>
              <w:right w:w="0" w:type="dxa"/>
            </w:tcMar>
            <w:vAlign w:val="center"/>
          </w:tcPr>
          <w:p w:rsidR="00E51332" w:rsidRDefault="00E51332">
            <w:pPr>
              <w:widowControl/>
              <w:snapToGrid w:val="0"/>
              <w:spacing w:line="276" w:lineRule="auto"/>
              <w:ind w:firstLine="560"/>
              <w:jc w:val="center"/>
              <w:rPr>
                <w:rFonts w:ascii="仿宋_GB2312"/>
                <w:kern w:val="0"/>
                <w:sz w:val="28"/>
              </w:rPr>
            </w:pPr>
          </w:p>
        </w:tc>
        <w:tc>
          <w:tcPr>
            <w:tcW w:w="3094" w:type="dxa"/>
            <w:shd w:val="clear" w:color="auto" w:fill="auto"/>
            <w:tcMar>
              <w:left w:w="0" w:type="dxa"/>
              <w:right w:w="0" w:type="dxa"/>
            </w:tcMar>
            <w:vAlign w:val="center"/>
          </w:tcPr>
          <w:p w:rsidR="00E51332" w:rsidRDefault="00B767C7">
            <w:pPr>
              <w:widowControl/>
              <w:adjustRightInd w:val="0"/>
              <w:snapToGrid w:val="0"/>
              <w:spacing w:line="276" w:lineRule="auto"/>
              <w:ind w:firstLineChars="0" w:firstLine="0"/>
              <w:rPr>
                <w:rFonts w:ascii="仿宋_GB2312"/>
                <w:kern w:val="0"/>
                <w:sz w:val="28"/>
                <w:highlight w:val="red"/>
              </w:rPr>
            </w:pPr>
            <w:r>
              <w:rPr>
                <w:rFonts w:ascii="仿宋_GB2312" w:hint="eastAsia"/>
                <w:kern w:val="0"/>
                <w:sz w:val="28"/>
              </w:rPr>
              <w:t>党政机关新建核心系统国产化率（%）</w:t>
            </w:r>
          </w:p>
        </w:tc>
        <w:tc>
          <w:tcPr>
            <w:tcW w:w="3444" w:type="dxa"/>
            <w:vAlign w:val="center"/>
          </w:tcPr>
          <w:p w:rsidR="00E51332" w:rsidRDefault="00B767C7">
            <w:pPr>
              <w:widowControl/>
              <w:adjustRightInd w:val="0"/>
              <w:snapToGrid w:val="0"/>
              <w:spacing w:line="276" w:lineRule="auto"/>
              <w:ind w:firstLineChars="0" w:firstLine="0"/>
              <w:rPr>
                <w:rFonts w:ascii="仿宋_GB2312"/>
                <w:kern w:val="0"/>
                <w:sz w:val="28"/>
              </w:rPr>
            </w:pPr>
            <w:r>
              <w:rPr>
                <w:rFonts w:ascii="仿宋_GB2312" w:hint="eastAsia"/>
                <w:kern w:val="0"/>
                <w:sz w:val="28"/>
              </w:rPr>
              <w:t>党政机关新建核心系统国产化数量/党政机关新建核</w:t>
            </w:r>
            <w:r>
              <w:rPr>
                <w:rFonts w:ascii="仿宋_GB2312" w:hint="eastAsia"/>
                <w:kern w:val="0"/>
                <w:sz w:val="28"/>
              </w:rPr>
              <w:lastRenderedPageBreak/>
              <w:t>心系统总量</w:t>
            </w:r>
            <w:r>
              <w:rPr>
                <w:rFonts w:ascii="仿宋" w:eastAsia="仿宋" w:hAnsi="仿宋" w:hint="eastAsia"/>
                <w:color w:val="000000"/>
                <w:kern w:val="0"/>
                <w:sz w:val="28"/>
              </w:rPr>
              <w:t>×</w:t>
            </w:r>
            <w:r>
              <w:rPr>
                <w:rFonts w:ascii="仿宋_GB2312" w:hint="eastAsia"/>
                <w:kern w:val="0"/>
                <w:sz w:val="28"/>
              </w:rPr>
              <w:t>100%</w:t>
            </w:r>
          </w:p>
        </w:tc>
      </w:tr>
      <w:tr w:rsidR="00E51332">
        <w:trPr>
          <w:trHeight w:val="397"/>
        </w:trPr>
        <w:tc>
          <w:tcPr>
            <w:tcW w:w="714" w:type="dxa"/>
            <w:shd w:val="clear" w:color="auto" w:fill="auto"/>
            <w:tcMar>
              <w:left w:w="0" w:type="dxa"/>
              <w:right w:w="0" w:type="dxa"/>
            </w:tcMar>
            <w:vAlign w:val="center"/>
          </w:tcPr>
          <w:p w:rsidR="00E51332" w:rsidRDefault="00E51332">
            <w:pPr>
              <w:pStyle w:val="ae"/>
              <w:widowControl/>
              <w:numPr>
                <w:ilvl w:val="0"/>
                <w:numId w:val="6"/>
              </w:numPr>
              <w:snapToGrid w:val="0"/>
              <w:spacing w:line="276" w:lineRule="auto"/>
              <w:ind w:left="0" w:firstLineChars="0" w:firstLine="0"/>
              <w:jc w:val="center"/>
              <w:rPr>
                <w:kern w:val="0"/>
                <w:sz w:val="28"/>
              </w:rPr>
            </w:pPr>
          </w:p>
        </w:tc>
        <w:tc>
          <w:tcPr>
            <w:tcW w:w="1167" w:type="dxa"/>
            <w:vMerge/>
            <w:tcMar>
              <w:left w:w="0" w:type="dxa"/>
              <w:right w:w="0" w:type="dxa"/>
            </w:tcMar>
            <w:vAlign w:val="center"/>
          </w:tcPr>
          <w:p w:rsidR="00E51332" w:rsidRDefault="00E51332">
            <w:pPr>
              <w:widowControl/>
              <w:snapToGrid w:val="0"/>
              <w:spacing w:line="276" w:lineRule="auto"/>
              <w:ind w:firstLine="560"/>
              <w:jc w:val="center"/>
              <w:rPr>
                <w:rFonts w:ascii="仿宋_GB2312"/>
                <w:kern w:val="0"/>
                <w:sz w:val="28"/>
              </w:rPr>
            </w:pPr>
          </w:p>
        </w:tc>
        <w:tc>
          <w:tcPr>
            <w:tcW w:w="3094" w:type="dxa"/>
            <w:shd w:val="clear" w:color="auto" w:fill="auto"/>
            <w:tcMar>
              <w:left w:w="0" w:type="dxa"/>
              <w:right w:w="0" w:type="dxa"/>
            </w:tcMar>
            <w:vAlign w:val="center"/>
          </w:tcPr>
          <w:p w:rsidR="00E51332" w:rsidRDefault="00B767C7">
            <w:pPr>
              <w:widowControl/>
              <w:adjustRightInd w:val="0"/>
              <w:snapToGrid w:val="0"/>
              <w:spacing w:line="276" w:lineRule="auto"/>
              <w:ind w:firstLineChars="0" w:firstLine="0"/>
              <w:rPr>
                <w:rFonts w:ascii="仿宋_GB2312"/>
                <w:kern w:val="0"/>
                <w:sz w:val="28"/>
              </w:rPr>
            </w:pPr>
            <w:r>
              <w:rPr>
                <w:rFonts w:ascii="仿宋_GB2312" w:hint="eastAsia"/>
                <w:kern w:val="0"/>
                <w:sz w:val="28"/>
              </w:rPr>
              <w:t>参与和主导制定数字政府相关国家、行业、地方标准数量（项）</w:t>
            </w:r>
          </w:p>
        </w:tc>
        <w:tc>
          <w:tcPr>
            <w:tcW w:w="3444" w:type="dxa"/>
            <w:vAlign w:val="center"/>
          </w:tcPr>
          <w:p w:rsidR="00E51332" w:rsidRDefault="00B767C7">
            <w:pPr>
              <w:widowControl/>
              <w:adjustRightInd w:val="0"/>
              <w:snapToGrid w:val="0"/>
              <w:spacing w:line="276" w:lineRule="auto"/>
              <w:ind w:firstLineChars="0" w:firstLine="0"/>
              <w:rPr>
                <w:rFonts w:ascii="仿宋_GB2312"/>
                <w:kern w:val="0"/>
                <w:sz w:val="28"/>
              </w:rPr>
            </w:pPr>
            <w:r>
              <w:rPr>
                <w:rFonts w:ascii="仿宋_GB2312" w:hint="eastAsia"/>
                <w:kern w:val="0"/>
                <w:sz w:val="28"/>
              </w:rPr>
              <w:t>数据统计</w:t>
            </w:r>
          </w:p>
        </w:tc>
      </w:tr>
      <w:tr w:rsidR="00E51332">
        <w:trPr>
          <w:trHeight w:val="397"/>
        </w:trPr>
        <w:tc>
          <w:tcPr>
            <w:tcW w:w="714" w:type="dxa"/>
            <w:shd w:val="clear" w:color="auto" w:fill="auto"/>
            <w:tcMar>
              <w:left w:w="0" w:type="dxa"/>
              <w:right w:w="0" w:type="dxa"/>
            </w:tcMar>
            <w:vAlign w:val="center"/>
          </w:tcPr>
          <w:p w:rsidR="00E51332" w:rsidRDefault="00E51332">
            <w:pPr>
              <w:pStyle w:val="ae"/>
              <w:widowControl/>
              <w:numPr>
                <w:ilvl w:val="0"/>
                <w:numId w:val="6"/>
              </w:numPr>
              <w:snapToGrid w:val="0"/>
              <w:spacing w:line="276" w:lineRule="auto"/>
              <w:ind w:left="0" w:firstLineChars="0" w:firstLine="0"/>
              <w:jc w:val="center"/>
              <w:rPr>
                <w:kern w:val="0"/>
                <w:sz w:val="28"/>
              </w:rPr>
            </w:pPr>
          </w:p>
        </w:tc>
        <w:tc>
          <w:tcPr>
            <w:tcW w:w="1167" w:type="dxa"/>
            <w:vMerge w:val="restart"/>
            <w:tcMar>
              <w:left w:w="0" w:type="dxa"/>
              <w:right w:w="0" w:type="dxa"/>
            </w:tcMar>
            <w:vAlign w:val="center"/>
          </w:tcPr>
          <w:p w:rsidR="00E51332" w:rsidRDefault="00B767C7">
            <w:pPr>
              <w:widowControl/>
              <w:snapToGrid w:val="0"/>
              <w:spacing w:line="276" w:lineRule="auto"/>
              <w:ind w:firstLineChars="0" w:firstLine="0"/>
              <w:rPr>
                <w:rFonts w:ascii="仿宋_GB2312"/>
                <w:kern w:val="0"/>
                <w:sz w:val="28"/>
              </w:rPr>
            </w:pPr>
            <w:r>
              <w:rPr>
                <w:rFonts w:ascii="仿宋_GB2312" w:hint="eastAsia"/>
                <w:kern w:val="0"/>
                <w:sz w:val="28"/>
              </w:rPr>
              <w:t>数字化赋能能力</w:t>
            </w:r>
          </w:p>
        </w:tc>
        <w:tc>
          <w:tcPr>
            <w:tcW w:w="3094" w:type="dxa"/>
            <w:shd w:val="clear" w:color="auto" w:fill="auto"/>
            <w:tcMar>
              <w:left w:w="0" w:type="dxa"/>
              <w:right w:w="0" w:type="dxa"/>
            </w:tcMar>
            <w:vAlign w:val="center"/>
          </w:tcPr>
          <w:p w:rsidR="00E51332" w:rsidRDefault="00B767C7">
            <w:pPr>
              <w:widowControl/>
              <w:adjustRightInd w:val="0"/>
              <w:snapToGrid w:val="0"/>
              <w:spacing w:line="276" w:lineRule="auto"/>
              <w:ind w:firstLineChars="0" w:firstLine="0"/>
              <w:rPr>
                <w:rFonts w:ascii="仿宋_GB2312"/>
                <w:kern w:val="0"/>
                <w:sz w:val="28"/>
              </w:rPr>
            </w:pPr>
            <w:r>
              <w:rPr>
                <w:rFonts w:ascii="仿宋_GB2312" w:hint="eastAsia"/>
                <w:kern w:val="0"/>
                <w:sz w:val="28"/>
              </w:rPr>
              <w:t>数字经济增加值</w:t>
            </w:r>
            <w:r>
              <w:rPr>
                <w:rFonts w:hint="eastAsia"/>
                <w:sz w:val="28"/>
              </w:rPr>
              <w:t>（亿元）</w:t>
            </w:r>
          </w:p>
        </w:tc>
        <w:tc>
          <w:tcPr>
            <w:tcW w:w="3444" w:type="dxa"/>
            <w:vAlign w:val="center"/>
          </w:tcPr>
          <w:p w:rsidR="00E51332" w:rsidRDefault="00B767C7">
            <w:pPr>
              <w:widowControl/>
              <w:adjustRightInd w:val="0"/>
              <w:snapToGrid w:val="0"/>
              <w:spacing w:line="276" w:lineRule="auto"/>
              <w:ind w:firstLineChars="0" w:firstLine="0"/>
              <w:rPr>
                <w:rFonts w:ascii="仿宋_GB2312"/>
                <w:kern w:val="0"/>
                <w:sz w:val="28"/>
              </w:rPr>
            </w:pPr>
            <w:r>
              <w:rPr>
                <w:rFonts w:ascii="仿宋_GB2312" w:hint="eastAsia"/>
                <w:kern w:val="0"/>
                <w:sz w:val="28"/>
              </w:rPr>
              <w:t>数据统计</w:t>
            </w:r>
          </w:p>
        </w:tc>
      </w:tr>
      <w:tr w:rsidR="00E51332">
        <w:trPr>
          <w:trHeight w:val="397"/>
        </w:trPr>
        <w:tc>
          <w:tcPr>
            <w:tcW w:w="714" w:type="dxa"/>
            <w:shd w:val="clear" w:color="auto" w:fill="auto"/>
            <w:tcMar>
              <w:left w:w="0" w:type="dxa"/>
              <w:right w:w="0" w:type="dxa"/>
            </w:tcMar>
            <w:vAlign w:val="center"/>
          </w:tcPr>
          <w:p w:rsidR="00E51332" w:rsidRDefault="00E51332">
            <w:pPr>
              <w:pStyle w:val="ae"/>
              <w:widowControl/>
              <w:numPr>
                <w:ilvl w:val="0"/>
                <w:numId w:val="6"/>
              </w:numPr>
              <w:snapToGrid w:val="0"/>
              <w:spacing w:line="276" w:lineRule="auto"/>
              <w:ind w:left="0" w:firstLineChars="0" w:firstLine="0"/>
              <w:jc w:val="center"/>
              <w:rPr>
                <w:kern w:val="0"/>
                <w:sz w:val="28"/>
              </w:rPr>
            </w:pPr>
          </w:p>
        </w:tc>
        <w:tc>
          <w:tcPr>
            <w:tcW w:w="1167" w:type="dxa"/>
            <w:vMerge/>
            <w:tcMar>
              <w:left w:w="0" w:type="dxa"/>
              <w:right w:w="0" w:type="dxa"/>
            </w:tcMar>
            <w:vAlign w:val="center"/>
          </w:tcPr>
          <w:p w:rsidR="00E51332" w:rsidRDefault="00E51332">
            <w:pPr>
              <w:widowControl/>
              <w:snapToGrid w:val="0"/>
              <w:spacing w:line="276" w:lineRule="auto"/>
              <w:ind w:firstLine="560"/>
              <w:jc w:val="center"/>
              <w:rPr>
                <w:rFonts w:ascii="仿宋_GB2312"/>
                <w:kern w:val="0"/>
                <w:sz w:val="28"/>
              </w:rPr>
            </w:pPr>
          </w:p>
        </w:tc>
        <w:tc>
          <w:tcPr>
            <w:tcW w:w="3094" w:type="dxa"/>
            <w:shd w:val="clear" w:color="auto" w:fill="auto"/>
            <w:tcMar>
              <w:left w:w="0" w:type="dxa"/>
              <w:right w:w="0" w:type="dxa"/>
            </w:tcMar>
            <w:vAlign w:val="center"/>
          </w:tcPr>
          <w:p w:rsidR="00E51332" w:rsidRDefault="00B767C7">
            <w:pPr>
              <w:widowControl/>
              <w:adjustRightInd w:val="0"/>
              <w:snapToGrid w:val="0"/>
              <w:spacing w:line="276" w:lineRule="auto"/>
              <w:ind w:firstLineChars="0" w:firstLine="0"/>
              <w:rPr>
                <w:rFonts w:ascii="仿宋_GB2312"/>
                <w:kern w:val="0"/>
                <w:sz w:val="28"/>
              </w:rPr>
            </w:pPr>
            <w:r>
              <w:rPr>
                <w:rFonts w:ascii="仿宋_GB2312" w:hint="eastAsia"/>
                <w:kern w:val="0"/>
                <w:sz w:val="28"/>
              </w:rPr>
              <w:t>数字经济占G</w:t>
            </w:r>
            <w:r>
              <w:rPr>
                <w:rFonts w:ascii="仿宋_GB2312"/>
                <w:kern w:val="0"/>
                <w:sz w:val="28"/>
              </w:rPr>
              <w:t>DP</w:t>
            </w:r>
            <w:r>
              <w:rPr>
                <w:rFonts w:ascii="仿宋_GB2312" w:hint="eastAsia"/>
                <w:kern w:val="0"/>
                <w:sz w:val="28"/>
              </w:rPr>
              <w:t>比重（%）</w:t>
            </w:r>
          </w:p>
        </w:tc>
        <w:tc>
          <w:tcPr>
            <w:tcW w:w="3444" w:type="dxa"/>
            <w:vAlign w:val="center"/>
          </w:tcPr>
          <w:p w:rsidR="00E51332" w:rsidRDefault="00B767C7">
            <w:pPr>
              <w:widowControl/>
              <w:adjustRightInd w:val="0"/>
              <w:snapToGrid w:val="0"/>
              <w:spacing w:line="276" w:lineRule="auto"/>
              <w:ind w:firstLineChars="0" w:firstLine="0"/>
              <w:rPr>
                <w:rFonts w:ascii="仿宋_GB2312"/>
                <w:kern w:val="0"/>
                <w:sz w:val="28"/>
              </w:rPr>
            </w:pPr>
            <w:r>
              <w:rPr>
                <w:rFonts w:ascii="仿宋_GB2312" w:hint="eastAsia"/>
                <w:kern w:val="0"/>
                <w:sz w:val="28"/>
              </w:rPr>
              <w:t>根据数据统计计算</w:t>
            </w:r>
          </w:p>
        </w:tc>
      </w:tr>
      <w:tr w:rsidR="00E51332">
        <w:trPr>
          <w:trHeight w:val="397"/>
        </w:trPr>
        <w:tc>
          <w:tcPr>
            <w:tcW w:w="714" w:type="dxa"/>
            <w:shd w:val="clear" w:color="auto" w:fill="auto"/>
            <w:tcMar>
              <w:left w:w="0" w:type="dxa"/>
              <w:right w:w="0" w:type="dxa"/>
            </w:tcMar>
            <w:vAlign w:val="center"/>
          </w:tcPr>
          <w:p w:rsidR="00E51332" w:rsidRDefault="00E51332">
            <w:pPr>
              <w:pStyle w:val="ae"/>
              <w:widowControl/>
              <w:numPr>
                <w:ilvl w:val="0"/>
                <w:numId w:val="6"/>
              </w:numPr>
              <w:snapToGrid w:val="0"/>
              <w:spacing w:line="276" w:lineRule="auto"/>
              <w:ind w:left="0" w:firstLineChars="0" w:firstLine="0"/>
              <w:jc w:val="center"/>
              <w:rPr>
                <w:kern w:val="0"/>
                <w:sz w:val="28"/>
              </w:rPr>
            </w:pPr>
          </w:p>
        </w:tc>
        <w:tc>
          <w:tcPr>
            <w:tcW w:w="1167" w:type="dxa"/>
            <w:vMerge/>
            <w:tcMar>
              <w:left w:w="0" w:type="dxa"/>
              <w:right w:w="0" w:type="dxa"/>
            </w:tcMar>
            <w:vAlign w:val="center"/>
          </w:tcPr>
          <w:p w:rsidR="00E51332" w:rsidRDefault="00E51332">
            <w:pPr>
              <w:widowControl/>
              <w:snapToGrid w:val="0"/>
              <w:spacing w:line="276" w:lineRule="auto"/>
              <w:ind w:firstLine="560"/>
              <w:jc w:val="center"/>
              <w:rPr>
                <w:rFonts w:ascii="仿宋_GB2312"/>
                <w:kern w:val="0"/>
                <w:sz w:val="28"/>
              </w:rPr>
            </w:pPr>
          </w:p>
        </w:tc>
        <w:tc>
          <w:tcPr>
            <w:tcW w:w="3094" w:type="dxa"/>
            <w:shd w:val="clear" w:color="auto" w:fill="auto"/>
            <w:tcMar>
              <w:left w:w="0" w:type="dxa"/>
              <w:right w:w="0" w:type="dxa"/>
            </w:tcMar>
            <w:vAlign w:val="center"/>
          </w:tcPr>
          <w:p w:rsidR="00E51332" w:rsidRDefault="00B767C7">
            <w:pPr>
              <w:widowControl/>
              <w:adjustRightInd w:val="0"/>
              <w:snapToGrid w:val="0"/>
              <w:spacing w:line="276" w:lineRule="auto"/>
              <w:ind w:firstLineChars="0" w:firstLine="0"/>
              <w:rPr>
                <w:rFonts w:ascii="仿宋_GB2312"/>
                <w:kern w:val="0"/>
                <w:sz w:val="28"/>
              </w:rPr>
            </w:pPr>
            <w:r>
              <w:rPr>
                <w:rFonts w:ascii="仿宋_GB2312" w:hint="eastAsia"/>
                <w:kern w:val="0"/>
                <w:sz w:val="28"/>
              </w:rPr>
              <w:t>数字乡村（社区）数量（</w:t>
            </w:r>
            <w:proofErr w:type="gramStart"/>
            <w:r>
              <w:rPr>
                <w:rFonts w:ascii="仿宋_GB2312" w:hint="eastAsia"/>
                <w:kern w:val="0"/>
                <w:sz w:val="28"/>
              </w:rPr>
              <w:t>个</w:t>
            </w:r>
            <w:proofErr w:type="gramEnd"/>
            <w:r>
              <w:rPr>
                <w:rFonts w:ascii="仿宋_GB2312" w:hint="eastAsia"/>
                <w:kern w:val="0"/>
                <w:sz w:val="28"/>
              </w:rPr>
              <w:t>）</w:t>
            </w:r>
          </w:p>
        </w:tc>
        <w:tc>
          <w:tcPr>
            <w:tcW w:w="3444" w:type="dxa"/>
            <w:vAlign w:val="center"/>
          </w:tcPr>
          <w:p w:rsidR="00E51332" w:rsidRDefault="00B767C7">
            <w:pPr>
              <w:widowControl/>
              <w:adjustRightInd w:val="0"/>
              <w:snapToGrid w:val="0"/>
              <w:spacing w:line="276" w:lineRule="auto"/>
              <w:ind w:firstLineChars="0" w:firstLine="0"/>
              <w:rPr>
                <w:rFonts w:ascii="仿宋_GB2312"/>
                <w:kern w:val="0"/>
                <w:sz w:val="28"/>
              </w:rPr>
            </w:pPr>
            <w:r>
              <w:rPr>
                <w:rFonts w:ascii="仿宋_GB2312" w:hint="eastAsia"/>
                <w:kern w:val="0"/>
                <w:sz w:val="28"/>
              </w:rPr>
              <w:t>数据统计</w:t>
            </w:r>
          </w:p>
        </w:tc>
      </w:tr>
    </w:tbl>
    <w:p w:rsidR="00E51332" w:rsidRDefault="00E51332">
      <w:pPr>
        <w:ind w:firstLineChars="62" w:firstLine="198"/>
      </w:pPr>
    </w:p>
    <w:sectPr w:rsidR="00E51332">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175E0D" w:rsidRDefault="00175E0D" w:rsidP="002B59AE">
      <w:pPr>
        <w:spacing w:line="240" w:lineRule="auto"/>
        <w:ind w:firstLine="640"/>
      </w:pPr>
      <w:r>
        <w:separator/>
      </w:r>
    </w:p>
  </w:endnote>
  <w:endnote w:type="continuationSeparator" w:id="0">
    <w:p w:rsidR="00175E0D" w:rsidRDefault="00175E0D" w:rsidP="002B59AE">
      <w:pPr>
        <w:spacing w:line="240" w:lineRule="auto"/>
        <w:ind w:firstLine="64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楷体_GB2312">
    <w:altName w:val="楷体"/>
    <w:charset w:val="86"/>
    <w:family w:val="modern"/>
    <w:pitch w:val="fixed"/>
    <w:sig w:usb0="00000001" w:usb1="080E0000" w:usb2="00000010" w:usb3="00000000" w:csb0="00040000" w:csb1="00000000"/>
  </w:font>
  <w:font w:name="等线">
    <w:altName w:val="Arial Unicode MS"/>
    <w:charset w:val="86"/>
    <w:family w:val="auto"/>
    <w:pitch w:val="variable"/>
    <w:sig w:usb0="00000000" w:usb1="38CF7CFA" w:usb2="00000016" w:usb3="00000000" w:csb0="0004000F" w:csb1="00000000"/>
  </w:font>
  <w:font w:name="仿宋_GB2312">
    <w:altName w:val="宋体"/>
    <w:panose1 w:val="00000000000000000000"/>
    <w:charset w:val="86"/>
    <w:family w:val="roman"/>
    <w:notTrueType/>
    <w:pitch w:val="default"/>
  </w:font>
  <w:font w:name="黑体">
    <w:altName w:val="SimHei"/>
    <w:panose1 w:val="02010609060101010101"/>
    <w:charset w:val="86"/>
    <w:family w:val="modern"/>
    <w:pitch w:val="fixed"/>
    <w:sig w:usb0="800002BF" w:usb1="38CF7CFA" w:usb2="00000016" w:usb3="00000000" w:csb0="00040001" w:csb1="00000000"/>
  </w:font>
  <w:font w:name="等线 Light">
    <w:altName w:val="Arial Unicode MS"/>
    <w:charset w:val="86"/>
    <w:family w:val="auto"/>
    <w:pitch w:val="variable"/>
    <w:sig w:usb0="00000000" w:usb1="38CF7CFA" w:usb2="00000016" w:usb3="00000000" w:csb0="0004000F" w:csb1="00000000"/>
  </w:font>
  <w:font w:name="方正小标宋简体">
    <w:panose1 w:val="03000509000000000000"/>
    <w:charset w:val="86"/>
    <w:family w:val="script"/>
    <w:pitch w:val="fixed"/>
    <w:sig w:usb0="00000001" w:usb1="080E0000" w:usb2="00000010" w:usb3="00000000" w:csb0="00040000" w:csb1="00000000"/>
  </w:font>
  <w:font w:name="微软雅黑">
    <w:panose1 w:val="020B0503020204020204"/>
    <w:charset w:val="86"/>
    <w:family w:val="swiss"/>
    <w:pitch w:val="variable"/>
    <w:sig w:usb0="80000287" w:usb1="280F3C52" w:usb2="00000016" w:usb3="00000000" w:csb0="0004001F" w:csb1="00000000"/>
  </w:font>
  <w:font w:name="Wingdings">
    <w:panose1 w:val="05000000000000000000"/>
    <w:charset w:val="02"/>
    <w:family w:val="auto"/>
    <w:pitch w:val="variable"/>
    <w:sig w:usb0="00000000" w:usb1="10000000" w:usb2="00000000" w:usb3="00000000" w:csb0="80000000" w:csb1="00000000"/>
  </w:font>
  <w:font w:name="宋体">
    <w:altName w:val="SimSun"/>
    <w:panose1 w:val="02010600030101010101"/>
    <w:charset w:val="86"/>
    <w:family w:val="auto"/>
    <w:pitch w:val="variable"/>
    <w:sig w:usb0="00000003" w:usb1="288F0000" w:usb2="00000016" w:usb3="00000000" w:csb0="00040001" w:csb1="00000000"/>
  </w:font>
  <w:font w:name="方正大标宋_GBK">
    <w:altName w:val="Arial Unicode MS"/>
    <w:charset w:val="86"/>
    <w:family w:val="script"/>
    <w:pitch w:val="fixed"/>
    <w:sig w:usb0="00000000"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35851" w:rsidRDefault="00835851">
    <w:pPr>
      <w:pStyle w:val="a6"/>
      <w:ind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315827555"/>
    </w:sdtPr>
    <w:sdtEndPr/>
    <w:sdtContent>
      <w:p w:rsidR="00835851" w:rsidRDefault="00835851">
        <w:pPr>
          <w:pStyle w:val="a6"/>
          <w:ind w:firstLine="360"/>
          <w:jc w:val="center"/>
        </w:pPr>
        <w:r>
          <w:fldChar w:fldCharType="begin"/>
        </w:r>
        <w:r>
          <w:instrText>PAGE   \* MERGEFORMAT</w:instrText>
        </w:r>
        <w:r>
          <w:fldChar w:fldCharType="separate"/>
        </w:r>
        <w:r w:rsidR="009E6317" w:rsidRPr="009E6317">
          <w:rPr>
            <w:noProof/>
            <w:lang w:val="zh-CN"/>
          </w:rPr>
          <w:t>88</w:t>
        </w:r>
        <w:r>
          <w:fldChar w:fldCharType="end"/>
        </w:r>
      </w:p>
    </w:sdtContent>
  </w:sdt>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698433180"/>
    </w:sdtPr>
    <w:sdtEndPr/>
    <w:sdtContent>
      <w:p w:rsidR="00835851" w:rsidRDefault="00175E0D">
        <w:pPr>
          <w:pStyle w:val="a6"/>
          <w:ind w:firstLine="360"/>
          <w:jc w:val="center"/>
        </w:pPr>
      </w:p>
    </w:sdtContent>
  </w:sdt>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705556468"/>
    </w:sdtPr>
    <w:sdtEndPr/>
    <w:sdtContent>
      <w:p w:rsidR="00835851" w:rsidRDefault="00835851">
        <w:pPr>
          <w:pStyle w:val="a6"/>
          <w:ind w:firstLine="360"/>
          <w:jc w:val="center"/>
        </w:pPr>
        <w:r>
          <w:fldChar w:fldCharType="begin"/>
        </w:r>
        <w:r>
          <w:instrText>PAGE   \* MERGEFORMAT</w:instrText>
        </w:r>
        <w:r>
          <w:fldChar w:fldCharType="separate"/>
        </w:r>
        <w:r w:rsidR="009E6317" w:rsidRPr="009E6317">
          <w:rPr>
            <w:noProof/>
            <w:lang w:val="zh-CN"/>
          </w:rPr>
          <w:t>I</w:t>
        </w:r>
        <w:r>
          <w:fldChar w:fldCharType="end"/>
        </w:r>
      </w:p>
    </w:sdtContent>
  </w:sdt>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175E0D" w:rsidRDefault="00175E0D" w:rsidP="002B59AE">
      <w:pPr>
        <w:spacing w:line="240" w:lineRule="auto"/>
        <w:ind w:firstLine="640"/>
      </w:pPr>
      <w:r>
        <w:separator/>
      </w:r>
    </w:p>
  </w:footnote>
  <w:footnote w:type="continuationSeparator" w:id="0">
    <w:p w:rsidR="00175E0D" w:rsidRDefault="00175E0D" w:rsidP="002B59AE">
      <w:pPr>
        <w:spacing w:line="240" w:lineRule="auto"/>
        <w:ind w:firstLine="64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35851" w:rsidRDefault="00835851">
    <w:pPr>
      <w:pStyle w:val="a7"/>
      <w:ind w:firstLine="36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35851" w:rsidRDefault="00835851">
    <w:pPr>
      <w:ind w:left="640" w:firstLineChars="0" w:firstLine="0"/>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35851" w:rsidRDefault="00835851">
    <w:pPr>
      <w:ind w:left="640" w:firstLineChars="0" w:firstLine="0"/>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0836D66"/>
    <w:multiLevelType w:val="multilevel"/>
    <w:tmpl w:val="20836D66"/>
    <w:lvl w:ilvl="0">
      <w:start w:val="1"/>
      <w:numFmt w:val="decimal"/>
      <w:lvlText w:val="（%1）"/>
      <w:lvlJc w:val="left"/>
      <w:pPr>
        <w:ind w:left="1063" w:hanging="420"/>
      </w:pPr>
      <w:rPr>
        <w:rFonts w:hint="default"/>
        <w:b/>
      </w:rPr>
    </w:lvl>
    <w:lvl w:ilvl="1">
      <w:start w:val="1"/>
      <w:numFmt w:val="lowerLetter"/>
      <w:lvlText w:val="%2)"/>
      <w:lvlJc w:val="left"/>
      <w:pPr>
        <w:ind w:left="1483" w:hanging="420"/>
      </w:pPr>
    </w:lvl>
    <w:lvl w:ilvl="2">
      <w:start w:val="1"/>
      <w:numFmt w:val="lowerRoman"/>
      <w:lvlText w:val="%3."/>
      <w:lvlJc w:val="right"/>
      <w:pPr>
        <w:ind w:left="1903" w:hanging="420"/>
      </w:pPr>
    </w:lvl>
    <w:lvl w:ilvl="3">
      <w:start w:val="1"/>
      <w:numFmt w:val="decimal"/>
      <w:lvlText w:val="%4."/>
      <w:lvlJc w:val="left"/>
      <w:pPr>
        <w:ind w:left="2323" w:hanging="420"/>
      </w:pPr>
    </w:lvl>
    <w:lvl w:ilvl="4">
      <w:start w:val="1"/>
      <w:numFmt w:val="lowerLetter"/>
      <w:lvlText w:val="%5)"/>
      <w:lvlJc w:val="left"/>
      <w:pPr>
        <w:ind w:left="2743" w:hanging="420"/>
      </w:pPr>
    </w:lvl>
    <w:lvl w:ilvl="5">
      <w:start w:val="1"/>
      <w:numFmt w:val="lowerRoman"/>
      <w:lvlText w:val="%6."/>
      <w:lvlJc w:val="right"/>
      <w:pPr>
        <w:ind w:left="3163" w:hanging="420"/>
      </w:pPr>
    </w:lvl>
    <w:lvl w:ilvl="6">
      <w:start w:val="1"/>
      <w:numFmt w:val="decimal"/>
      <w:lvlText w:val="%7."/>
      <w:lvlJc w:val="left"/>
      <w:pPr>
        <w:ind w:left="3583" w:hanging="420"/>
      </w:pPr>
    </w:lvl>
    <w:lvl w:ilvl="7">
      <w:start w:val="1"/>
      <w:numFmt w:val="lowerLetter"/>
      <w:lvlText w:val="%8)"/>
      <w:lvlJc w:val="left"/>
      <w:pPr>
        <w:ind w:left="4003" w:hanging="420"/>
      </w:pPr>
    </w:lvl>
    <w:lvl w:ilvl="8">
      <w:start w:val="1"/>
      <w:numFmt w:val="lowerRoman"/>
      <w:lvlText w:val="%9."/>
      <w:lvlJc w:val="right"/>
      <w:pPr>
        <w:ind w:left="4423" w:hanging="420"/>
      </w:pPr>
    </w:lvl>
  </w:abstractNum>
  <w:abstractNum w:abstractNumId="1">
    <w:nsid w:val="29BB3805"/>
    <w:multiLevelType w:val="multilevel"/>
    <w:tmpl w:val="29BB3805"/>
    <w:lvl w:ilvl="0">
      <w:start w:val="1"/>
      <w:numFmt w:val="decimal"/>
      <w:lvlText w:val="%1."/>
      <w:lvlJc w:val="left"/>
      <w:pPr>
        <w:ind w:left="1063" w:hanging="420"/>
      </w:pPr>
    </w:lvl>
    <w:lvl w:ilvl="1">
      <w:start w:val="1"/>
      <w:numFmt w:val="lowerLetter"/>
      <w:lvlText w:val="%2)"/>
      <w:lvlJc w:val="left"/>
      <w:pPr>
        <w:ind w:left="1483" w:hanging="420"/>
      </w:pPr>
    </w:lvl>
    <w:lvl w:ilvl="2">
      <w:start w:val="1"/>
      <w:numFmt w:val="lowerRoman"/>
      <w:lvlText w:val="%3."/>
      <w:lvlJc w:val="right"/>
      <w:pPr>
        <w:ind w:left="1903" w:hanging="420"/>
      </w:pPr>
    </w:lvl>
    <w:lvl w:ilvl="3">
      <w:start w:val="1"/>
      <w:numFmt w:val="decimal"/>
      <w:lvlText w:val="%4."/>
      <w:lvlJc w:val="left"/>
      <w:pPr>
        <w:ind w:left="2323" w:hanging="420"/>
      </w:pPr>
    </w:lvl>
    <w:lvl w:ilvl="4">
      <w:start w:val="1"/>
      <w:numFmt w:val="lowerLetter"/>
      <w:lvlText w:val="%5)"/>
      <w:lvlJc w:val="left"/>
      <w:pPr>
        <w:ind w:left="2743" w:hanging="420"/>
      </w:pPr>
    </w:lvl>
    <w:lvl w:ilvl="5">
      <w:start w:val="1"/>
      <w:numFmt w:val="lowerRoman"/>
      <w:lvlText w:val="%6."/>
      <w:lvlJc w:val="right"/>
      <w:pPr>
        <w:ind w:left="3163" w:hanging="420"/>
      </w:pPr>
    </w:lvl>
    <w:lvl w:ilvl="6">
      <w:start w:val="1"/>
      <w:numFmt w:val="decimal"/>
      <w:lvlText w:val="%7."/>
      <w:lvlJc w:val="left"/>
      <w:pPr>
        <w:ind w:left="3583" w:hanging="420"/>
      </w:pPr>
    </w:lvl>
    <w:lvl w:ilvl="7">
      <w:start w:val="1"/>
      <w:numFmt w:val="lowerLetter"/>
      <w:lvlText w:val="%8)"/>
      <w:lvlJc w:val="left"/>
      <w:pPr>
        <w:ind w:left="4003" w:hanging="420"/>
      </w:pPr>
    </w:lvl>
    <w:lvl w:ilvl="8">
      <w:start w:val="1"/>
      <w:numFmt w:val="lowerRoman"/>
      <w:lvlText w:val="%9."/>
      <w:lvlJc w:val="right"/>
      <w:pPr>
        <w:ind w:left="4423" w:hanging="420"/>
      </w:pPr>
    </w:lvl>
  </w:abstractNum>
  <w:abstractNum w:abstractNumId="2">
    <w:nsid w:val="30241FB6"/>
    <w:multiLevelType w:val="multilevel"/>
    <w:tmpl w:val="30241FB6"/>
    <w:lvl w:ilvl="0">
      <w:start w:val="1"/>
      <w:numFmt w:val="decimal"/>
      <w:lvlText w:val="%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3">
    <w:nsid w:val="3A702735"/>
    <w:multiLevelType w:val="multilevel"/>
    <w:tmpl w:val="3A702735"/>
    <w:lvl w:ilvl="0">
      <w:start w:val="1"/>
      <w:numFmt w:val="decimal"/>
      <w:lvlText w:val="%1."/>
      <w:lvlJc w:val="left"/>
      <w:pPr>
        <w:ind w:left="3329" w:hanging="420"/>
      </w:pPr>
      <w:rPr>
        <w:rFonts w:hint="eastAsia"/>
        <w:b w:val="0"/>
        <w:i w:val="0"/>
        <w:sz w:val="32"/>
        <w:szCs w:val="32"/>
      </w:rPr>
    </w:lvl>
    <w:lvl w:ilvl="1">
      <w:start w:val="1"/>
      <w:numFmt w:val="lowerLetter"/>
      <w:lvlText w:val="%2)"/>
      <w:lvlJc w:val="left"/>
      <w:pPr>
        <w:ind w:left="3749" w:hanging="420"/>
      </w:pPr>
    </w:lvl>
    <w:lvl w:ilvl="2">
      <w:start w:val="1"/>
      <w:numFmt w:val="lowerRoman"/>
      <w:lvlText w:val="%3."/>
      <w:lvlJc w:val="right"/>
      <w:pPr>
        <w:ind w:left="4169" w:hanging="420"/>
      </w:pPr>
    </w:lvl>
    <w:lvl w:ilvl="3">
      <w:start w:val="1"/>
      <w:numFmt w:val="decimal"/>
      <w:lvlText w:val="%4."/>
      <w:lvlJc w:val="left"/>
      <w:pPr>
        <w:ind w:left="4589" w:hanging="420"/>
      </w:pPr>
    </w:lvl>
    <w:lvl w:ilvl="4">
      <w:start w:val="1"/>
      <w:numFmt w:val="lowerLetter"/>
      <w:lvlText w:val="%5)"/>
      <w:lvlJc w:val="left"/>
      <w:pPr>
        <w:ind w:left="5009" w:hanging="420"/>
      </w:pPr>
    </w:lvl>
    <w:lvl w:ilvl="5">
      <w:start w:val="1"/>
      <w:numFmt w:val="lowerRoman"/>
      <w:lvlText w:val="%6."/>
      <w:lvlJc w:val="right"/>
      <w:pPr>
        <w:ind w:left="5429" w:hanging="420"/>
      </w:pPr>
    </w:lvl>
    <w:lvl w:ilvl="6">
      <w:start w:val="1"/>
      <w:numFmt w:val="decimal"/>
      <w:lvlText w:val="%7."/>
      <w:lvlJc w:val="left"/>
      <w:pPr>
        <w:ind w:left="5849" w:hanging="420"/>
      </w:pPr>
    </w:lvl>
    <w:lvl w:ilvl="7">
      <w:start w:val="1"/>
      <w:numFmt w:val="lowerLetter"/>
      <w:lvlText w:val="%8)"/>
      <w:lvlJc w:val="left"/>
      <w:pPr>
        <w:ind w:left="6269" w:hanging="420"/>
      </w:pPr>
    </w:lvl>
    <w:lvl w:ilvl="8">
      <w:start w:val="1"/>
      <w:numFmt w:val="lowerRoman"/>
      <w:lvlText w:val="%9."/>
      <w:lvlJc w:val="right"/>
      <w:pPr>
        <w:ind w:left="6689" w:hanging="420"/>
      </w:pPr>
    </w:lvl>
  </w:abstractNum>
  <w:abstractNum w:abstractNumId="4">
    <w:nsid w:val="5CED46AD"/>
    <w:multiLevelType w:val="multilevel"/>
    <w:tmpl w:val="5CED46AD"/>
    <w:lvl w:ilvl="0">
      <w:start w:val="1"/>
      <w:numFmt w:val="decimal"/>
      <w:lvlText w:val="%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5">
    <w:nsid w:val="77512BBD"/>
    <w:multiLevelType w:val="multilevel"/>
    <w:tmpl w:val="77512BBD"/>
    <w:lvl w:ilvl="0">
      <w:start w:val="1"/>
      <w:numFmt w:val="chineseCountingThousand"/>
      <w:pStyle w:val="1"/>
      <w:suff w:val="nothing"/>
      <w:lvlText w:val="%1、"/>
      <w:lvlJc w:val="left"/>
      <w:pPr>
        <w:ind w:left="0" w:firstLine="0"/>
      </w:pPr>
      <w:rPr>
        <w:rFonts w:hint="eastAsia"/>
      </w:rPr>
    </w:lvl>
    <w:lvl w:ilvl="1">
      <w:start w:val="1"/>
      <w:numFmt w:val="chineseCountingThousand"/>
      <w:pStyle w:val="2"/>
      <w:suff w:val="nothing"/>
      <w:lvlText w:val="（%2）"/>
      <w:lvlJc w:val="left"/>
      <w:pPr>
        <w:ind w:left="0" w:firstLine="0"/>
      </w:pPr>
      <w:rPr>
        <w:rFonts w:hint="eastAsia"/>
      </w:rPr>
    </w:lvl>
    <w:lvl w:ilvl="2">
      <w:start w:val="1"/>
      <w:numFmt w:val="decimal"/>
      <w:pStyle w:val="3"/>
      <w:suff w:val="space"/>
      <w:lvlText w:val="%3."/>
      <w:lvlJc w:val="left"/>
      <w:pPr>
        <w:ind w:left="0" w:firstLine="0"/>
      </w:pPr>
      <w:rPr>
        <w:rFonts w:ascii="Times New Roman" w:eastAsia="楷体_GB2312" w:hAnsi="Times New Roman" w:hint="default"/>
        <w:b/>
        <w:i w:val="0"/>
      </w:rPr>
    </w:lvl>
    <w:lvl w:ilvl="3">
      <w:start w:val="1"/>
      <w:numFmt w:val="decimal"/>
      <w:lvlText w:val="%4."/>
      <w:lvlJc w:val="left"/>
      <w:pPr>
        <w:ind w:left="1200" w:firstLine="0"/>
      </w:pPr>
      <w:rPr>
        <w:rFonts w:hint="eastAsia"/>
      </w:rPr>
    </w:lvl>
    <w:lvl w:ilvl="4">
      <w:start w:val="1"/>
      <w:numFmt w:val="lowerLetter"/>
      <w:lvlText w:val="%5)"/>
      <w:lvlJc w:val="left"/>
      <w:pPr>
        <w:ind w:left="1600" w:firstLine="0"/>
      </w:pPr>
      <w:rPr>
        <w:rFonts w:hint="eastAsia"/>
      </w:rPr>
    </w:lvl>
    <w:lvl w:ilvl="5">
      <w:start w:val="1"/>
      <w:numFmt w:val="lowerRoman"/>
      <w:lvlText w:val="%6."/>
      <w:lvlJc w:val="right"/>
      <w:pPr>
        <w:ind w:left="2000" w:firstLine="0"/>
      </w:pPr>
      <w:rPr>
        <w:rFonts w:hint="eastAsia"/>
      </w:rPr>
    </w:lvl>
    <w:lvl w:ilvl="6">
      <w:start w:val="1"/>
      <w:numFmt w:val="decimal"/>
      <w:lvlText w:val="%7."/>
      <w:lvlJc w:val="left"/>
      <w:pPr>
        <w:ind w:left="2400" w:firstLine="0"/>
      </w:pPr>
      <w:rPr>
        <w:rFonts w:hint="eastAsia"/>
      </w:rPr>
    </w:lvl>
    <w:lvl w:ilvl="7">
      <w:start w:val="1"/>
      <w:numFmt w:val="lowerLetter"/>
      <w:lvlText w:val="%8)"/>
      <w:lvlJc w:val="left"/>
      <w:pPr>
        <w:ind w:left="2800" w:firstLine="0"/>
      </w:pPr>
      <w:rPr>
        <w:rFonts w:hint="eastAsia"/>
      </w:rPr>
    </w:lvl>
    <w:lvl w:ilvl="8">
      <w:start w:val="1"/>
      <w:numFmt w:val="lowerRoman"/>
      <w:lvlText w:val="%9."/>
      <w:lvlJc w:val="right"/>
      <w:pPr>
        <w:ind w:left="3200" w:firstLine="0"/>
      </w:pPr>
      <w:rPr>
        <w:rFonts w:hint="eastAsia"/>
      </w:rPr>
    </w:lvl>
  </w:abstractNum>
  <w:num w:numId="1">
    <w:abstractNumId w:val="5"/>
  </w:num>
  <w:num w:numId="2">
    <w:abstractNumId w:val="1"/>
  </w:num>
  <w:num w:numId="3">
    <w:abstractNumId w:val="2"/>
  </w:num>
  <w:num w:numId="4">
    <w:abstractNumId w:val="3"/>
  </w:num>
  <w:num w:numId="5">
    <w:abstractNumId w:val="0"/>
  </w:num>
  <w:num w:numId="6">
    <w:abstractNumId w:val="4"/>
  </w:num>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person w15:author="陆许明">
    <w15:presenceInfo w15:providerId="None" w15:userId="陆许明"/>
  </w15:person>
  <w15:person w15:author="元小文">
    <w15:presenceInfo w15:providerId="None" w15:userId="元小文"/>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bordersDoNotSurroundHeader/>
  <w:bordersDoNotSurroundFooter/>
  <w:proofState w:spelling="clean" w:grammar="clean"/>
  <w:defaultTabStop w:val="51"/>
  <w:drawingGridHorizontalSpacing w:val="160"/>
  <w:drawingGridVerticalSpacing w:val="435"/>
  <w:displayHorizontalDrawingGridEvery w:val="0"/>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B2541"/>
    <w:rsid w:val="000040A8"/>
    <w:rsid w:val="00004D1D"/>
    <w:rsid w:val="00005353"/>
    <w:rsid w:val="000071F5"/>
    <w:rsid w:val="00020AD2"/>
    <w:rsid w:val="000238AE"/>
    <w:rsid w:val="000269C6"/>
    <w:rsid w:val="00027275"/>
    <w:rsid w:val="00030C0A"/>
    <w:rsid w:val="00031742"/>
    <w:rsid w:val="00036B59"/>
    <w:rsid w:val="00036D60"/>
    <w:rsid w:val="00037075"/>
    <w:rsid w:val="00040B23"/>
    <w:rsid w:val="00041E3D"/>
    <w:rsid w:val="0005553D"/>
    <w:rsid w:val="000557F2"/>
    <w:rsid w:val="00055C70"/>
    <w:rsid w:val="00056FFE"/>
    <w:rsid w:val="000571D1"/>
    <w:rsid w:val="00063960"/>
    <w:rsid w:val="00064E41"/>
    <w:rsid w:val="0006756D"/>
    <w:rsid w:val="00067B3B"/>
    <w:rsid w:val="00067F66"/>
    <w:rsid w:val="000703C3"/>
    <w:rsid w:val="000729B4"/>
    <w:rsid w:val="00080C2F"/>
    <w:rsid w:val="00085E50"/>
    <w:rsid w:val="000873D1"/>
    <w:rsid w:val="0008785C"/>
    <w:rsid w:val="000919B8"/>
    <w:rsid w:val="00093177"/>
    <w:rsid w:val="00094876"/>
    <w:rsid w:val="000A0488"/>
    <w:rsid w:val="000A1C06"/>
    <w:rsid w:val="000A4D69"/>
    <w:rsid w:val="000A50E3"/>
    <w:rsid w:val="000A76B6"/>
    <w:rsid w:val="000B1008"/>
    <w:rsid w:val="000B1AED"/>
    <w:rsid w:val="000B5CEB"/>
    <w:rsid w:val="000C6DA5"/>
    <w:rsid w:val="000C70B7"/>
    <w:rsid w:val="000D003E"/>
    <w:rsid w:val="000D3F66"/>
    <w:rsid w:val="000E100C"/>
    <w:rsid w:val="000E33E5"/>
    <w:rsid w:val="000E5A60"/>
    <w:rsid w:val="000E624D"/>
    <w:rsid w:val="000E7318"/>
    <w:rsid w:val="000F0CBC"/>
    <w:rsid w:val="000F11B8"/>
    <w:rsid w:val="000F5BB1"/>
    <w:rsid w:val="000F7B4B"/>
    <w:rsid w:val="00101FAC"/>
    <w:rsid w:val="001053E5"/>
    <w:rsid w:val="001059AA"/>
    <w:rsid w:val="001070CB"/>
    <w:rsid w:val="00107EB8"/>
    <w:rsid w:val="001102C6"/>
    <w:rsid w:val="00111F08"/>
    <w:rsid w:val="00113ADD"/>
    <w:rsid w:val="00114712"/>
    <w:rsid w:val="0012365A"/>
    <w:rsid w:val="00124EF5"/>
    <w:rsid w:val="00130754"/>
    <w:rsid w:val="0013209C"/>
    <w:rsid w:val="00134448"/>
    <w:rsid w:val="00135B11"/>
    <w:rsid w:val="00135E4F"/>
    <w:rsid w:val="001361E0"/>
    <w:rsid w:val="00136209"/>
    <w:rsid w:val="0014240D"/>
    <w:rsid w:val="00142B30"/>
    <w:rsid w:val="001475AC"/>
    <w:rsid w:val="00147D1C"/>
    <w:rsid w:val="001525FD"/>
    <w:rsid w:val="0015475C"/>
    <w:rsid w:val="00154FED"/>
    <w:rsid w:val="0016148F"/>
    <w:rsid w:val="00162726"/>
    <w:rsid w:val="001645A9"/>
    <w:rsid w:val="00165CA9"/>
    <w:rsid w:val="001671E9"/>
    <w:rsid w:val="00174631"/>
    <w:rsid w:val="00175E0D"/>
    <w:rsid w:val="001761CE"/>
    <w:rsid w:val="00177079"/>
    <w:rsid w:val="00177C30"/>
    <w:rsid w:val="00180C82"/>
    <w:rsid w:val="00182B75"/>
    <w:rsid w:val="00185126"/>
    <w:rsid w:val="00191421"/>
    <w:rsid w:val="001A3C61"/>
    <w:rsid w:val="001A434B"/>
    <w:rsid w:val="001A6891"/>
    <w:rsid w:val="001B0C60"/>
    <w:rsid w:val="001B0DD6"/>
    <w:rsid w:val="001B1CDB"/>
    <w:rsid w:val="001B412E"/>
    <w:rsid w:val="001C161F"/>
    <w:rsid w:val="001C1A6E"/>
    <w:rsid w:val="001C4CDB"/>
    <w:rsid w:val="001C5652"/>
    <w:rsid w:val="001C7B85"/>
    <w:rsid w:val="001D6FE1"/>
    <w:rsid w:val="001D7F1F"/>
    <w:rsid w:val="001F129F"/>
    <w:rsid w:val="001F7104"/>
    <w:rsid w:val="0020379F"/>
    <w:rsid w:val="002067CD"/>
    <w:rsid w:val="00211AB9"/>
    <w:rsid w:val="00222192"/>
    <w:rsid w:val="00227D15"/>
    <w:rsid w:val="00227EF5"/>
    <w:rsid w:val="00230453"/>
    <w:rsid w:val="00234A6A"/>
    <w:rsid w:val="00236416"/>
    <w:rsid w:val="002413E6"/>
    <w:rsid w:val="00241A59"/>
    <w:rsid w:val="00245E00"/>
    <w:rsid w:val="0025124A"/>
    <w:rsid w:val="002527A3"/>
    <w:rsid w:val="00252D88"/>
    <w:rsid w:val="002644AC"/>
    <w:rsid w:val="0026746C"/>
    <w:rsid w:val="00267C42"/>
    <w:rsid w:val="0027036E"/>
    <w:rsid w:val="002802F4"/>
    <w:rsid w:val="0028129C"/>
    <w:rsid w:val="0028302B"/>
    <w:rsid w:val="002846A8"/>
    <w:rsid w:val="002855AC"/>
    <w:rsid w:val="00292FD5"/>
    <w:rsid w:val="00293BE1"/>
    <w:rsid w:val="002A20BE"/>
    <w:rsid w:val="002A28A2"/>
    <w:rsid w:val="002A2E6A"/>
    <w:rsid w:val="002A4417"/>
    <w:rsid w:val="002A5B28"/>
    <w:rsid w:val="002A5D54"/>
    <w:rsid w:val="002A64DD"/>
    <w:rsid w:val="002B2355"/>
    <w:rsid w:val="002B2541"/>
    <w:rsid w:val="002B59AE"/>
    <w:rsid w:val="002B636E"/>
    <w:rsid w:val="002C0AA9"/>
    <w:rsid w:val="002C1662"/>
    <w:rsid w:val="002C3955"/>
    <w:rsid w:val="002C40D8"/>
    <w:rsid w:val="002C5239"/>
    <w:rsid w:val="002C5E26"/>
    <w:rsid w:val="002D252D"/>
    <w:rsid w:val="002D45EC"/>
    <w:rsid w:val="002D4D53"/>
    <w:rsid w:val="002E385D"/>
    <w:rsid w:val="002E3BA4"/>
    <w:rsid w:val="002E4F38"/>
    <w:rsid w:val="002E7737"/>
    <w:rsid w:val="002E7D4A"/>
    <w:rsid w:val="002F072A"/>
    <w:rsid w:val="002F359D"/>
    <w:rsid w:val="002F5FFF"/>
    <w:rsid w:val="002F7B90"/>
    <w:rsid w:val="00301EAC"/>
    <w:rsid w:val="0030580A"/>
    <w:rsid w:val="00313EE6"/>
    <w:rsid w:val="0031420D"/>
    <w:rsid w:val="003153C8"/>
    <w:rsid w:val="00315B6C"/>
    <w:rsid w:val="00315E65"/>
    <w:rsid w:val="00325795"/>
    <w:rsid w:val="00326137"/>
    <w:rsid w:val="003276D6"/>
    <w:rsid w:val="00331D30"/>
    <w:rsid w:val="003322CB"/>
    <w:rsid w:val="003334DF"/>
    <w:rsid w:val="0033490D"/>
    <w:rsid w:val="003368A5"/>
    <w:rsid w:val="003379E6"/>
    <w:rsid w:val="00342450"/>
    <w:rsid w:val="00342D74"/>
    <w:rsid w:val="00342D7B"/>
    <w:rsid w:val="00343DB4"/>
    <w:rsid w:val="00345835"/>
    <w:rsid w:val="00350675"/>
    <w:rsid w:val="0035073B"/>
    <w:rsid w:val="0035224B"/>
    <w:rsid w:val="00355E10"/>
    <w:rsid w:val="003576A0"/>
    <w:rsid w:val="00361480"/>
    <w:rsid w:val="00361788"/>
    <w:rsid w:val="00362CB1"/>
    <w:rsid w:val="00363C6B"/>
    <w:rsid w:val="00367812"/>
    <w:rsid w:val="00367861"/>
    <w:rsid w:val="00372885"/>
    <w:rsid w:val="003757AF"/>
    <w:rsid w:val="00375E2D"/>
    <w:rsid w:val="00381028"/>
    <w:rsid w:val="00392E64"/>
    <w:rsid w:val="00392F50"/>
    <w:rsid w:val="003A37A8"/>
    <w:rsid w:val="003A5C7C"/>
    <w:rsid w:val="003B3E36"/>
    <w:rsid w:val="003B4BB1"/>
    <w:rsid w:val="003B7834"/>
    <w:rsid w:val="003C025B"/>
    <w:rsid w:val="003C10AA"/>
    <w:rsid w:val="003C2DB4"/>
    <w:rsid w:val="003C35F8"/>
    <w:rsid w:val="003C414A"/>
    <w:rsid w:val="003C7BBF"/>
    <w:rsid w:val="003E12C5"/>
    <w:rsid w:val="003E404F"/>
    <w:rsid w:val="003E5199"/>
    <w:rsid w:val="003E6E88"/>
    <w:rsid w:val="003F0D5A"/>
    <w:rsid w:val="003F15FA"/>
    <w:rsid w:val="003F2F18"/>
    <w:rsid w:val="003F3E07"/>
    <w:rsid w:val="003F4630"/>
    <w:rsid w:val="003F4937"/>
    <w:rsid w:val="003F52D9"/>
    <w:rsid w:val="003F7F16"/>
    <w:rsid w:val="004000AC"/>
    <w:rsid w:val="004003E0"/>
    <w:rsid w:val="00406B26"/>
    <w:rsid w:val="00407F0D"/>
    <w:rsid w:val="00417F56"/>
    <w:rsid w:val="0042543C"/>
    <w:rsid w:val="00426655"/>
    <w:rsid w:val="00427423"/>
    <w:rsid w:val="00434E43"/>
    <w:rsid w:val="00435B3B"/>
    <w:rsid w:val="00446304"/>
    <w:rsid w:val="00453568"/>
    <w:rsid w:val="0045431A"/>
    <w:rsid w:val="00454487"/>
    <w:rsid w:val="00456BD6"/>
    <w:rsid w:val="00460F76"/>
    <w:rsid w:val="0046790C"/>
    <w:rsid w:val="00473AC7"/>
    <w:rsid w:val="00484749"/>
    <w:rsid w:val="00485CD3"/>
    <w:rsid w:val="00485FF7"/>
    <w:rsid w:val="00492FAA"/>
    <w:rsid w:val="00494AA0"/>
    <w:rsid w:val="00495BD2"/>
    <w:rsid w:val="0049737A"/>
    <w:rsid w:val="004A04B3"/>
    <w:rsid w:val="004A3644"/>
    <w:rsid w:val="004A3768"/>
    <w:rsid w:val="004A6FC4"/>
    <w:rsid w:val="004B1B5C"/>
    <w:rsid w:val="004B5E37"/>
    <w:rsid w:val="004B686B"/>
    <w:rsid w:val="004C0A64"/>
    <w:rsid w:val="004C1CB3"/>
    <w:rsid w:val="004C24B8"/>
    <w:rsid w:val="004C25E4"/>
    <w:rsid w:val="004C5E11"/>
    <w:rsid w:val="004C7881"/>
    <w:rsid w:val="004C7E9F"/>
    <w:rsid w:val="004D2998"/>
    <w:rsid w:val="004D4C9A"/>
    <w:rsid w:val="004D5F26"/>
    <w:rsid w:val="004E0A1D"/>
    <w:rsid w:val="004E2139"/>
    <w:rsid w:val="004E48D2"/>
    <w:rsid w:val="004E495D"/>
    <w:rsid w:val="004E6765"/>
    <w:rsid w:val="004E7FC1"/>
    <w:rsid w:val="004F1100"/>
    <w:rsid w:val="004F189F"/>
    <w:rsid w:val="004F6FD4"/>
    <w:rsid w:val="005008E0"/>
    <w:rsid w:val="00502755"/>
    <w:rsid w:val="00507985"/>
    <w:rsid w:val="0051148D"/>
    <w:rsid w:val="005119CB"/>
    <w:rsid w:val="00516086"/>
    <w:rsid w:val="005207F7"/>
    <w:rsid w:val="005211CD"/>
    <w:rsid w:val="0053201A"/>
    <w:rsid w:val="00534CE0"/>
    <w:rsid w:val="005432A9"/>
    <w:rsid w:val="00544588"/>
    <w:rsid w:val="00544B56"/>
    <w:rsid w:val="00551113"/>
    <w:rsid w:val="005528F1"/>
    <w:rsid w:val="00554C3B"/>
    <w:rsid w:val="00555BF9"/>
    <w:rsid w:val="00557027"/>
    <w:rsid w:val="00560DB8"/>
    <w:rsid w:val="00562B6A"/>
    <w:rsid w:val="00562B8D"/>
    <w:rsid w:val="005673BC"/>
    <w:rsid w:val="005673CD"/>
    <w:rsid w:val="00571F13"/>
    <w:rsid w:val="00572554"/>
    <w:rsid w:val="00573EF8"/>
    <w:rsid w:val="0057568C"/>
    <w:rsid w:val="00580D0C"/>
    <w:rsid w:val="005830AF"/>
    <w:rsid w:val="005833D5"/>
    <w:rsid w:val="00583F91"/>
    <w:rsid w:val="00586E5F"/>
    <w:rsid w:val="005903B2"/>
    <w:rsid w:val="005916F4"/>
    <w:rsid w:val="00593820"/>
    <w:rsid w:val="00593E29"/>
    <w:rsid w:val="00596C8C"/>
    <w:rsid w:val="005A138A"/>
    <w:rsid w:val="005A3D8C"/>
    <w:rsid w:val="005A42DF"/>
    <w:rsid w:val="005A6F13"/>
    <w:rsid w:val="005B300F"/>
    <w:rsid w:val="005C3F20"/>
    <w:rsid w:val="005D0A14"/>
    <w:rsid w:val="005E069E"/>
    <w:rsid w:val="005E3038"/>
    <w:rsid w:val="005E31B1"/>
    <w:rsid w:val="005F0381"/>
    <w:rsid w:val="005F03D4"/>
    <w:rsid w:val="005F316C"/>
    <w:rsid w:val="00603393"/>
    <w:rsid w:val="00612A4F"/>
    <w:rsid w:val="0061490B"/>
    <w:rsid w:val="006168DC"/>
    <w:rsid w:val="00617176"/>
    <w:rsid w:val="0062135E"/>
    <w:rsid w:val="00626097"/>
    <w:rsid w:val="00627088"/>
    <w:rsid w:val="006349B2"/>
    <w:rsid w:val="00636D83"/>
    <w:rsid w:val="00637251"/>
    <w:rsid w:val="00637F94"/>
    <w:rsid w:val="006407A4"/>
    <w:rsid w:val="00640B99"/>
    <w:rsid w:val="00641BC3"/>
    <w:rsid w:val="006424FB"/>
    <w:rsid w:val="00645341"/>
    <w:rsid w:val="00645C76"/>
    <w:rsid w:val="00646DCF"/>
    <w:rsid w:val="006533F7"/>
    <w:rsid w:val="00654399"/>
    <w:rsid w:val="00654428"/>
    <w:rsid w:val="00654C6B"/>
    <w:rsid w:val="0065558A"/>
    <w:rsid w:val="00657312"/>
    <w:rsid w:val="00662B7E"/>
    <w:rsid w:val="00664363"/>
    <w:rsid w:val="006706B6"/>
    <w:rsid w:val="006709B9"/>
    <w:rsid w:val="00670B58"/>
    <w:rsid w:val="00671C4A"/>
    <w:rsid w:val="00673B76"/>
    <w:rsid w:val="00674430"/>
    <w:rsid w:val="00674F0B"/>
    <w:rsid w:val="006806DC"/>
    <w:rsid w:val="006821A7"/>
    <w:rsid w:val="00683142"/>
    <w:rsid w:val="00686592"/>
    <w:rsid w:val="006911A3"/>
    <w:rsid w:val="00694257"/>
    <w:rsid w:val="00696279"/>
    <w:rsid w:val="006A6E00"/>
    <w:rsid w:val="006A75AE"/>
    <w:rsid w:val="006B1C46"/>
    <w:rsid w:val="006B5490"/>
    <w:rsid w:val="006B63BD"/>
    <w:rsid w:val="006B6412"/>
    <w:rsid w:val="006C2379"/>
    <w:rsid w:val="006C5DCB"/>
    <w:rsid w:val="006C75FE"/>
    <w:rsid w:val="006C787E"/>
    <w:rsid w:val="006D099D"/>
    <w:rsid w:val="006D178A"/>
    <w:rsid w:val="006D2812"/>
    <w:rsid w:val="006D2C86"/>
    <w:rsid w:val="006D434E"/>
    <w:rsid w:val="006D530E"/>
    <w:rsid w:val="006E142B"/>
    <w:rsid w:val="006E252A"/>
    <w:rsid w:val="006E2707"/>
    <w:rsid w:val="006F1768"/>
    <w:rsid w:val="006F2321"/>
    <w:rsid w:val="006F254F"/>
    <w:rsid w:val="006F26A8"/>
    <w:rsid w:val="006F5B86"/>
    <w:rsid w:val="006F63C8"/>
    <w:rsid w:val="006F65AC"/>
    <w:rsid w:val="006F77A0"/>
    <w:rsid w:val="00700A09"/>
    <w:rsid w:val="00701B0D"/>
    <w:rsid w:val="007052C4"/>
    <w:rsid w:val="0070552B"/>
    <w:rsid w:val="00705D50"/>
    <w:rsid w:val="0070650B"/>
    <w:rsid w:val="007102B9"/>
    <w:rsid w:val="00714A02"/>
    <w:rsid w:val="007200B6"/>
    <w:rsid w:val="007206CB"/>
    <w:rsid w:val="00721323"/>
    <w:rsid w:val="00722615"/>
    <w:rsid w:val="00722800"/>
    <w:rsid w:val="007238D2"/>
    <w:rsid w:val="00725520"/>
    <w:rsid w:val="007342D3"/>
    <w:rsid w:val="00734725"/>
    <w:rsid w:val="00735261"/>
    <w:rsid w:val="00737DA2"/>
    <w:rsid w:val="00741349"/>
    <w:rsid w:val="00743002"/>
    <w:rsid w:val="00743075"/>
    <w:rsid w:val="00743C7E"/>
    <w:rsid w:val="007514B4"/>
    <w:rsid w:val="00756FF9"/>
    <w:rsid w:val="00757019"/>
    <w:rsid w:val="00762302"/>
    <w:rsid w:val="00765BD3"/>
    <w:rsid w:val="00765F0B"/>
    <w:rsid w:val="00767A36"/>
    <w:rsid w:val="00776AC6"/>
    <w:rsid w:val="0078358B"/>
    <w:rsid w:val="007840AE"/>
    <w:rsid w:val="00786DBD"/>
    <w:rsid w:val="00791A54"/>
    <w:rsid w:val="00794AA3"/>
    <w:rsid w:val="00796ABD"/>
    <w:rsid w:val="007973F8"/>
    <w:rsid w:val="007A02F6"/>
    <w:rsid w:val="007A07B2"/>
    <w:rsid w:val="007A14B9"/>
    <w:rsid w:val="007A2A44"/>
    <w:rsid w:val="007A2A87"/>
    <w:rsid w:val="007A472F"/>
    <w:rsid w:val="007A4941"/>
    <w:rsid w:val="007A4BA2"/>
    <w:rsid w:val="007A660E"/>
    <w:rsid w:val="007B000E"/>
    <w:rsid w:val="007B3FB2"/>
    <w:rsid w:val="007B7FED"/>
    <w:rsid w:val="007C209F"/>
    <w:rsid w:val="007C3841"/>
    <w:rsid w:val="007C50C4"/>
    <w:rsid w:val="007C7042"/>
    <w:rsid w:val="007D3F28"/>
    <w:rsid w:val="007E16E2"/>
    <w:rsid w:val="007E5FCE"/>
    <w:rsid w:val="007E746D"/>
    <w:rsid w:val="007F015A"/>
    <w:rsid w:val="007F3A5A"/>
    <w:rsid w:val="007F3DF8"/>
    <w:rsid w:val="007F56AE"/>
    <w:rsid w:val="007F7148"/>
    <w:rsid w:val="008014BC"/>
    <w:rsid w:val="008027BD"/>
    <w:rsid w:val="00803912"/>
    <w:rsid w:val="0080406D"/>
    <w:rsid w:val="00811B42"/>
    <w:rsid w:val="008157DE"/>
    <w:rsid w:val="00822779"/>
    <w:rsid w:val="00823526"/>
    <w:rsid w:val="00823871"/>
    <w:rsid w:val="0082432C"/>
    <w:rsid w:val="00825CD8"/>
    <w:rsid w:val="00827645"/>
    <w:rsid w:val="00831632"/>
    <w:rsid w:val="00833DD4"/>
    <w:rsid w:val="00835851"/>
    <w:rsid w:val="008375B7"/>
    <w:rsid w:val="00837D00"/>
    <w:rsid w:val="00840014"/>
    <w:rsid w:val="008400E2"/>
    <w:rsid w:val="008426FE"/>
    <w:rsid w:val="0084596B"/>
    <w:rsid w:val="00851106"/>
    <w:rsid w:val="008517A1"/>
    <w:rsid w:val="008526E7"/>
    <w:rsid w:val="00852BD8"/>
    <w:rsid w:val="0085508D"/>
    <w:rsid w:val="008559D7"/>
    <w:rsid w:val="008576AC"/>
    <w:rsid w:val="00865D4F"/>
    <w:rsid w:val="008714C9"/>
    <w:rsid w:val="00871EA1"/>
    <w:rsid w:val="00872B94"/>
    <w:rsid w:val="00874257"/>
    <w:rsid w:val="008749FD"/>
    <w:rsid w:val="00874E1D"/>
    <w:rsid w:val="00882371"/>
    <w:rsid w:val="008858FC"/>
    <w:rsid w:val="00890A55"/>
    <w:rsid w:val="00891AF6"/>
    <w:rsid w:val="00891F2D"/>
    <w:rsid w:val="0089250C"/>
    <w:rsid w:val="00892EA2"/>
    <w:rsid w:val="0089596E"/>
    <w:rsid w:val="00896FC0"/>
    <w:rsid w:val="008A0764"/>
    <w:rsid w:val="008A07B5"/>
    <w:rsid w:val="008A1266"/>
    <w:rsid w:val="008A68AE"/>
    <w:rsid w:val="008A6AEE"/>
    <w:rsid w:val="008B0D95"/>
    <w:rsid w:val="008B24C9"/>
    <w:rsid w:val="008C06D1"/>
    <w:rsid w:val="008C1F3D"/>
    <w:rsid w:val="008C34EA"/>
    <w:rsid w:val="008C4A89"/>
    <w:rsid w:val="008C5681"/>
    <w:rsid w:val="008C595A"/>
    <w:rsid w:val="008C7709"/>
    <w:rsid w:val="008C7ACF"/>
    <w:rsid w:val="008D1AED"/>
    <w:rsid w:val="008D1D13"/>
    <w:rsid w:val="008D5AB2"/>
    <w:rsid w:val="008D7682"/>
    <w:rsid w:val="008E1A92"/>
    <w:rsid w:val="008E3A6D"/>
    <w:rsid w:val="008E4A3C"/>
    <w:rsid w:val="008E5741"/>
    <w:rsid w:val="008E5977"/>
    <w:rsid w:val="008F1E2D"/>
    <w:rsid w:val="008F2486"/>
    <w:rsid w:val="00902904"/>
    <w:rsid w:val="00903FD6"/>
    <w:rsid w:val="009157D3"/>
    <w:rsid w:val="0092013E"/>
    <w:rsid w:val="00922CC4"/>
    <w:rsid w:val="00923590"/>
    <w:rsid w:val="00931F5A"/>
    <w:rsid w:val="00933E73"/>
    <w:rsid w:val="0093668A"/>
    <w:rsid w:val="00936EC3"/>
    <w:rsid w:val="009370CE"/>
    <w:rsid w:val="00937DED"/>
    <w:rsid w:val="00943331"/>
    <w:rsid w:val="00945DD9"/>
    <w:rsid w:val="00950FF0"/>
    <w:rsid w:val="00951739"/>
    <w:rsid w:val="00954C9C"/>
    <w:rsid w:val="009577D3"/>
    <w:rsid w:val="00961DC1"/>
    <w:rsid w:val="00962768"/>
    <w:rsid w:val="00963670"/>
    <w:rsid w:val="0096718F"/>
    <w:rsid w:val="00974A2E"/>
    <w:rsid w:val="009776B9"/>
    <w:rsid w:val="009802A8"/>
    <w:rsid w:val="00985DC1"/>
    <w:rsid w:val="00986F5D"/>
    <w:rsid w:val="00991637"/>
    <w:rsid w:val="009941E6"/>
    <w:rsid w:val="00995C53"/>
    <w:rsid w:val="00997D65"/>
    <w:rsid w:val="009A7213"/>
    <w:rsid w:val="009B0B60"/>
    <w:rsid w:val="009B3158"/>
    <w:rsid w:val="009B3BA5"/>
    <w:rsid w:val="009B3FFF"/>
    <w:rsid w:val="009B7292"/>
    <w:rsid w:val="009C091B"/>
    <w:rsid w:val="009C0925"/>
    <w:rsid w:val="009C0B6E"/>
    <w:rsid w:val="009C17D4"/>
    <w:rsid w:val="009C196B"/>
    <w:rsid w:val="009C633D"/>
    <w:rsid w:val="009C6A3E"/>
    <w:rsid w:val="009D2CA4"/>
    <w:rsid w:val="009D2CE5"/>
    <w:rsid w:val="009D3057"/>
    <w:rsid w:val="009D6C68"/>
    <w:rsid w:val="009D6D94"/>
    <w:rsid w:val="009E0F4C"/>
    <w:rsid w:val="009E4AFD"/>
    <w:rsid w:val="009E5364"/>
    <w:rsid w:val="009E6317"/>
    <w:rsid w:val="009F098B"/>
    <w:rsid w:val="009F350B"/>
    <w:rsid w:val="009F5D43"/>
    <w:rsid w:val="009F6622"/>
    <w:rsid w:val="00A023CF"/>
    <w:rsid w:val="00A032BD"/>
    <w:rsid w:val="00A05871"/>
    <w:rsid w:val="00A06653"/>
    <w:rsid w:val="00A071F2"/>
    <w:rsid w:val="00A11A66"/>
    <w:rsid w:val="00A1583C"/>
    <w:rsid w:val="00A1685E"/>
    <w:rsid w:val="00A23D64"/>
    <w:rsid w:val="00A24098"/>
    <w:rsid w:val="00A25479"/>
    <w:rsid w:val="00A30164"/>
    <w:rsid w:val="00A303B0"/>
    <w:rsid w:val="00A31533"/>
    <w:rsid w:val="00A31AE2"/>
    <w:rsid w:val="00A33C1C"/>
    <w:rsid w:val="00A34BA8"/>
    <w:rsid w:val="00A37F07"/>
    <w:rsid w:val="00A425B3"/>
    <w:rsid w:val="00A42F89"/>
    <w:rsid w:val="00A479D5"/>
    <w:rsid w:val="00A47C58"/>
    <w:rsid w:val="00A50928"/>
    <w:rsid w:val="00A52AB9"/>
    <w:rsid w:val="00A55F73"/>
    <w:rsid w:val="00A60916"/>
    <w:rsid w:val="00A617F5"/>
    <w:rsid w:val="00A62486"/>
    <w:rsid w:val="00A653C9"/>
    <w:rsid w:val="00A67DF2"/>
    <w:rsid w:val="00A70530"/>
    <w:rsid w:val="00A747BC"/>
    <w:rsid w:val="00A82534"/>
    <w:rsid w:val="00A83D67"/>
    <w:rsid w:val="00A90E13"/>
    <w:rsid w:val="00A91C8F"/>
    <w:rsid w:val="00A93D46"/>
    <w:rsid w:val="00AA0F41"/>
    <w:rsid w:val="00AA514D"/>
    <w:rsid w:val="00AA7470"/>
    <w:rsid w:val="00AA782C"/>
    <w:rsid w:val="00AA7C1F"/>
    <w:rsid w:val="00AB068E"/>
    <w:rsid w:val="00AB1DD2"/>
    <w:rsid w:val="00AB6034"/>
    <w:rsid w:val="00AC2138"/>
    <w:rsid w:val="00AC6119"/>
    <w:rsid w:val="00AC7FF7"/>
    <w:rsid w:val="00AD045A"/>
    <w:rsid w:val="00AD68BF"/>
    <w:rsid w:val="00AF0F30"/>
    <w:rsid w:val="00AF2656"/>
    <w:rsid w:val="00AF3002"/>
    <w:rsid w:val="00AF350F"/>
    <w:rsid w:val="00AF52CF"/>
    <w:rsid w:val="00B11508"/>
    <w:rsid w:val="00B1298D"/>
    <w:rsid w:val="00B15EE0"/>
    <w:rsid w:val="00B173F6"/>
    <w:rsid w:val="00B17F8B"/>
    <w:rsid w:val="00B22194"/>
    <w:rsid w:val="00B22AC3"/>
    <w:rsid w:val="00B2582A"/>
    <w:rsid w:val="00B25AF2"/>
    <w:rsid w:val="00B266E9"/>
    <w:rsid w:val="00B26FE9"/>
    <w:rsid w:val="00B31480"/>
    <w:rsid w:val="00B329ED"/>
    <w:rsid w:val="00B32DB7"/>
    <w:rsid w:val="00B35630"/>
    <w:rsid w:val="00B473BB"/>
    <w:rsid w:val="00B47C38"/>
    <w:rsid w:val="00B50AEA"/>
    <w:rsid w:val="00B57D64"/>
    <w:rsid w:val="00B6125E"/>
    <w:rsid w:val="00B64C92"/>
    <w:rsid w:val="00B64E46"/>
    <w:rsid w:val="00B64E4B"/>
    <w:rsid w:val="00B65B14"/>
    <w:rsid w:val="00B66EDC"/>
    <w:rsid w:val="00B6727B"/>
    <w:rsid w:val="00B702B4"/>
    <w:rsid w:val="00B70C2E"/>
    <w:rsid w:val="00B72A89"/>
    <w:rsid w:val="00B72F5D"/>
    <w:rsid w:val="00B736A6"/>
    <w:rsid w:val="00B75FC3"/>
    <w:rsid w:val="00B76201"/>
    <w:rsid w:val="00B767C7"/>
    <w:rsid w:val="00B81B81"/>
    <w:rsid w:val="00B824DC"/>
    <w:rsid w:val="00B85EAD"/>
    <w:rsid w:val="00B868E7"/>
    <w:rsid w:val="00B871E5"/>
    <w:rsid w:val="00B87235"/>
    <w:rsid w:val="00B87E4E"/>
    <w:rsid w:val="00B93576"/>
    <w:rsid w:val="00B942F7"/>
    <w:rsid w:val="00B95588"/>
    <w:rsid w:val="00B96E96"/>
    <w:rsid w:val="00BA0BCF"/>
    <w:rsid w:val="00BA1CF6"/>
    <w:rsid w:val="00BA20DC"/>
    <w:rsid w:val="00BA4C32"/>
    <w:rsid w:val="00BA5913"/>
    <w:rsid w:val="00BA66AF"/>
    <w:rsid w:val="00BB04B1"/>
    <w:rsid w:val="00BB2A96"/>
    <w:rsid w:val="00BB51B8"/>
    <w:rsid w:val="00BB6F6B"/>
    <w:rsid w:val="00BB70A3"/>
    <w:rsid w:val="00BB7CC6"/>
    <w:rsid w:val="00BC6850"/>
    <w:rsid w:val="00BD0115"/>
    <w:rsid w:val="00BD2416"/>
    <w:rsid w:val="00BD4105"/>
    <w:rsid w:val="00BD5CED"/>
    <w:rsid w:val="00BD748D"/>
    <w:rsid w:val="00BD74A8"/>
    <w:rsid w:val="00BD797A"/>
    <w:rsid w:val="00BE69B8"/>
    <w:rsid w:val="00BE7F29"/>
    <w:rsid w:val="00BF0734"/>
    <w:rsid w:val="00C04AA2"/>
    <w:rsid w:val="00C04D23"/>
    <w:rsid w:val="00C11E6B"/>
    <w:rsid w:val="00C12EA4"/>
    <w:rsid w:val="00C14D61"/>
    <w:rsid w:val="00C2095A"/>
    <w:rsid w:val="00C20BC9"/>
    <w:rsid w:val="00C2118E"/>
    <w:rsid w:val="00C24961"/>
    <w:rsid w:val="00C26C3B"/>
    <w:rsid w:val="00C27B21"/>
    <w:rsid w:val="00C42D60"/>
    <w:rsid w:val="00C431FC"/>
    <w:rsid w:val="00C43A2E"/>
    <w:rsid w:val="00C43F8C"/>
    <w:rsid w:val="00C47918"/>
    <w:rsid w:val="00C51E1A"/>
    <w:rsid w:val="00C52601"/>
    <w:rsid w:val="00C5300A"/>
    <w:rsid w:val="00C53C4A"/>
    <w:rsid w:val="00C5629F"/>
    <w:rsid w:val="00C606BC"/>
    <w:rsid w:val="00C65148"/>
    <w:rsid w:val="00C6761F"/>
    <w:rsid w:val="00C70B40"/>
    <w:rsid w:val="00C75A53"/>
    <w:rsid w:val="00C77D07"/>
    <w:rsid w:val="00C8176A"/>
    <w:rsid w:val="00C84998"/>
    <w:rsid w:val="00C87ADD"/>
    <w:rsid w:val="00C92FE4"/>
    <w:rsid w:val="00C9369C"/>
    <w:rsid w:val="00C9531F"/>
    <w:rsid w:val="00C96FBC"/>
    <w:rsid w:val="00CA2B4D"/>
    <w:rsid w:val="00CB4E0B"/>
    <w:rsid w:val="00CB6B22"/>
    <w:rsid w:val="00CB7C79"/>
    <w:rsid w:val="00CC62B8"/>
    <w:rsid w:val="00CD2D1A"/>
    <w:rsid w:val="00CD3742"/>
    <w:rsid w:val="00CD4D47"/>
    <w:rsid w:val="00CE13C1"/>
    <w:rsid w:val="00CE289A"/>
    <w:rsid w:val="00CE2DD6"/>
    <w:rsid w:val="00CE532A"/>
    <w:rsid w:val="00CF1E29"/>
    <w:rsid w:val="00CF231A"/>
    <w:rsid w:val="00CF7BB7"/>
    <w:rsid w:val="00D01248"/>
    <w:rsid w:val="00D061EE"/>
    <w:rsid w:val="00D11520"/>
    <w:rsid w:val="00D15062"/>
    <w:rsid w:val="00D16459"/>
    <w:rsid w:val="00D171A6"/>
    <w:rsid w:val="00D217FF"/>
    <w:rsid w:val="00D253C3"/>
    <w:rsid w:val="00D26C6C"/>
    <w:rsid w:val="00D272E7"/>
    <w:rsid w:val="00D30B41"/>
    <w:rsid w:val="00D43941"/>
    <w:rsid w:val="00D460D7"/>
    <w:rsid w:val="00D5309F"/>
    <w:rsid w:val="00D54ECC"/>
    <w:rsid w:val="00D5590F"/>
    <w:rsid w:val="00D61367"/>
    <w:rsid w:val="00D63539"/>
    <w:rsid w:val="00D635C9"/>
    <w:rsid w:val="00D671FB"/>
    <w:rsid w:val="00D730AC"/>
    <w:rsid w:val="00D740D7"/>
    <w:rsid w:val="00D76387"/>
    <w:rsid w:val="00D774B0"/>
    <w:rsid w:val="00D811E6"/>
    <w:rsid w:val="00D81698"/>
    <w:rsid w:val="00D84B52"/>
    <w:rsid w:val="00D86A36"/>
    <w:rsid w:val="00D87C7E"/>
    <w:rsid w:val="00D9133D"/>
    <w:rsid w:val="00D92D32"/>
    <w:rsid w:val="00D97CE5"/>
    <w:rsid w:val="00DA4219"/>
    <w:rsid w:val="00DA6A93"/>
    <w:rsid w:val="00DA7C7C"/>
    <w:rsid w:val="00DB6530"/>
    <w:rsid w:val="00DC1AF9"/>
    <w:rsid w:val="00DC302A"/>
    <w:rsid w:val="00DC3CCC"/>
    <w:rsid w:val="00DC5D47"/>
    <w:rsid w:val="00DC6A21"/>
    <w:rsid w:val="00DC7299"/>
    <w:rsid w:val="00DD1A84"/>
    <w:rsid w:val="00DE36A2"/>
    <w:rsid w:val="00DE58FD"/>
    <w:rsid w:val="00DE7A55"/>
    <w:rsid w:val="00DF2CB9"/>
    <w:rsid w:val="00DF5A49"/>
    <w:rsid w:val="00DF719A"/>
    <w:rsid w:val="00E01D43"/>
    <w:rsid w:val="00E050D8"/>
    <w:rsid w:val="00E072B6"/>
    <w:rsid w:val="00E1278B"/>
    <w:rsid w:val="00E15AE9"/>
    <w:rsid w:val="00E16EC9"/>
    <w:rsid w:val="00E20FEB"/>
    <w:rsid w:val="00E229A8"/>
    <w:rsid w:val="00E22BBC"/>
    <w:rsid w:val="00E22C0C"/>
    <w:rsid w:val="00E26C28"/>
    <w:rsid w:val="00E329A7"/>
    <w:rsid w:val="00E32CDD"/>
    <w:rsid w:val="00E33408"/>
    <w:rsid w:val="00E340FA"/>
    <w:rsid w:val="00E34C32"/>
    <w:rsid w:val="00E360B6"/>
    <w:rsid w:val="00E37087"/>
    <w:rsid w:val="00E37CAC"/>
    <w:rsid w:val="00E431BB"/>
    <w:rsid w:val="00E44005"/>
    <w:rsid w:val="00E4456F"/>
    <w:rsid w:val="00E44830"/>
    <w:rsid w:val="00E44F9C"/>
    <w:rsid w:val="00E50E62"/>
    <w:rsid w:val="00E51332"/>
    <w:rsid w:val="00E54278"/>
    <w:rsid w:val="00E62003"/>
    <w:rsid w:val="00E633A0"/>
    <w:rsid w:val="00E714C8"/>
    <w:rsid w:val="00E7449E"/>
    <w:rsid w:val="00E75B70"/>
    <w:rsid w:val="00E75CED"/>
    <w:rsid w:val="00E81908"/>
    <w:rsid w:val="00E84E2C"/>
    <w:rsid w:val="00E874FA"/>
    <w:rsid w:val="00E917B4"/>
    <w:rsid w:val="00E93493"/>
    <w:rsid w:val="00E94D0E"/>
    <w:rsid w:val="00EA14E4"/>
    <w:rsid w:val="00EA5859"/>
    <w:rsid w:val="00EC10F1"/>
    <w:rsid w:val="00EC1636"/>
    <w:rsid w:val="00ED10F4"/>
    <w:rsid w:val="00ED4433"/>
    <w:rsid w:val="00ED6C7F"/>
    <w:rsid w:val="00ED7457"/>
    <w:rsid w:val="00ED755D"/>
    <w:rsid w:val="00EE77D7"/>
    <w:rsid w:val="00EF0AA7"/>
    <w:rsid w:val="00EF2DC1"/>
    <w:rsid w:val="00F001EE"/>
    <w:rsid w:val="00F03DCE"/>
    <w:rsid w:val="00F04D6D"/>
    <w:rsid w:val="00F06B05"/>
    <w:rsid w:val="00F1793A"/>
    <w:rsid w:val="00F1798E"/>
    <w:rsid w:val="00F212FE"/>
    <w:rsid w:val="00F249CA"/>
    <w:rsid w:val="00F27BDB"/>
    <w:rsid w:val="00F35680"/>
    <w:rsid w:val="00F3711B"/>
    <w:rsid w:val="00F37474"/>
    <w:rsid w:val="00F460E6"/>
    <w:rsid w:val="00F46E55"/>
    <w:rsid w:val="00F4710D"/>
    <w:rsid w:val="00F535AB"/>
    <w:rsid w:val="00F55149"/>
    <w:rsid w:val="00F56209"/>
    <w:rsid w:val="00F56963"/>
    <w:rsid w:val="00F62220"/>
    <w:rsid w:val="00F6340E"/>
    <w:rsid w:val="00F73BA3"/>
    <w:rsid w:val="00F75D75"/>
    <w:rsid w:val="00F76280"/>
    <w:rsid w:val="00F76E80"/>
    <w:rsid w:val="00F7797E"/>
    <w:rsid w:val="00F80FD6"/>
    <w:rsid w:val="00F837CF"/>
    <w:rsid w:val="00F83A97"/>
    <w:rsid w:val="00F85058"/>
    <w:rsid w:val="00F900F9"/>
    <w:rsid w:val="00F93315"/>
    <w:rsid w:val="00F95126"/>
    <w:rsid w:val="00FA37B1"/>
    <w:rsid w:val="00FA3FC0"/>
    <w:rsid w:val="00FA57C3"/>
    <w:rsid w:val="00FA7A12"/>
    <w:rsid w:val="00FB02FB"/>
    <w:rsid w:val="00FB48FB"/>
    <w:rsid w:val="00FB4EF4"/>
    <w:rsid w:val="00FC1444"/>
    <w:rsid w:val="00FC4B15"/>
    <w:rsid w:val="00FC670D"/>
    <w:rsid w:val="00FD0BC4"/>
    <w:rsid w:val="00FD2F20"/>
    <w:rsid w:val="00FD47AA"/>
    <w:rsid w:val="00FE1DDA"/>
    <w:rsid w:val="00FE26E1"/>
    <w:rsid w:val="00FE637F"/>
    <w:rsid w:val="00FE6C1A"/>
    <w:rsid w:val="00FF57CC"/>
    <w:rsid w:val="053B3246"/>
    <w:rsid w:val="07EF457C"/>
    <w:rsid w:val="091849AD"/>
    <w:rsid w:val="09E645F1"/>
    <w:rsid w:val="0C0E3A4B"/>
    <w:rsid w:val="150B0503"/>
    <w:rsid w:val="16194B92"/>
    <w:rsid w:val="1A7606C8"/>
    <w:rsid w:val="1C7B3EF8"/>
    <w:rsid w:val="26EA1F0C"/>
    <w:rsid w:val="28B201E2"/>
    <w:rsid w:val="297D3A84"/>
    <w:rsid w:val="38645665"/>
    <w:rsid w:val="4341771A"/>
    <w:rsid w:val="451847AC"/>
    <w:rsid w:val="4BCE55B1"/>
    <w:rsid w:val="4C966D90"/>
    <w:rsid w:val="59C05644"/>
    <w:rsid w:val="5C623AB5"/>
    <w:rsid w:val="5F6F3BCC"/>
    <w:rsid w:val="60E744EF"/>
    <w:rsid w:val="79B8799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qFormat="1"/>
    <w:lsdException w:name="heading 3" w:semiHidden="0" w:uiPriority="9" w:qFormat="1"/>
    <w:lsdException w:name="heading 4" w:semiHidden="0" w:uiPriority="9" w:qFormat="1"/>
    <w:lsdException w:name="heading 5" w:semiHidden="0" w:uiPriority="9" w:qFormat="1"/>
    <w:lsdException w:name="heading 6" w:semiHidden="0" w:uiPriority="9" w:qFormat="1"/>
    <w:lsdException w:name="heading 7" w:semiHidden="0" w:uiPriority="9" w:qFormat="1"/>
    <w:lsdException w:name="heading 8" w:semiHidden="0" w:uiPriority="9" w:qFormat="1"/>
    <w:lsdException w:name="heading 9" w:semiHidden="0" w:uiPriority="9" w:qFormat="1"/>
    <w:lsdException w:name="toc 1" w:semiHidden="0" w:uiPriority="39" w:qFormat="1"/>
    <w:lsdException w:name="toc 2" w:semiHidden="0" w:uiPriority="39" w:qFormat="1"/>
    <w:lsdException w:name="toc 3" w:semiHidden="0" w:uiPriority="39" w:qFormat="1"/>
    <w:lsdException w:name="toc 4" w:uiPriority="39"/>
    <w:lsdException w:name="toc 5" w:uiPriority="39"/>
    <w:lsdException w:name="toc 6" w:uiPriority="39"/>
    <w:lsdException w:name="toc 7" w:uiPriority="39"/>
    <w:lsdException w:name="toc 8" w:uiPriority="39"/>
    <w:lsdException w:name="toc 9" w:uiPriority="39"/>
    <w:lsdException w:name="annotation text" w:qFormat="1"/>
    <w:lsdException w:name="header" w:semiHidden="0" w:qFormat="1"/>
    <w:lsdException w:name="footer" w:semiHidden="0" w:qFormat="1"/>
    <w:lsdException w:name="caption" w:semiHidden="0" w:uiPriority="0" w:qFormat="1"/>
    <w:lsdException w:name="annotation reference" w:qFormat="1"/>
    <w:lsdException w:name="Title" w:semiHidden="0" w:uiPriority="10" w:unhideWhenUsed="0" w:qFormat="1"/>
    <w:lsdException w:name="Default Paragraph Font" w:uiPriority="1" w:qFormat="1"/>
    <w:lsdException w:name="Subtitle" w:semiHidden="0" w:uiPriority="11" w:unhideWhenUsed="0" w:qFormat="1"/>
    <w:lsdException w:name="Hyperlink" w:semiHidden="0" w:qFormat="1"/>
    <w:lsdException w:name="Strong" w:semiHidden="0" w:uiPriority="22" w:unhideWhenUsed="0" w:qFormat="1"/>
    <w:lsdException w:name="Emphasis" w:semiHidden="0" w:uiPriority="20" w:unhideWhenUsed="0" w:qFormat="1"/>
    <w:lsdException w:name="Normal Table" w:qFormat="1"/>
    <w:lsdException w:name="annotation subject" w:qFormat="1"/>
    <w:lsdException w:name="Balloon Text" w:qFormat="1"/>
    <w:lsdException w:name="Table Grid" w:semiHidden="0" w:uiPriority="39"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spacing w:line="600" w:lineRule="exact"/>
      <w:ind w:firstLineChars="200" w:firstLine="200"/>
      <w:jc w:val="both"/>
    </w:pPr>
    <w:rPr>
      <w:rFonts w:ascii="Times New Roman" w:eastAsia="仿宋_GB2312" w:hAnsi="Times New Roman"/>
      <w:kern w:val="2"/>
      <w:sz w:val="32"/>
      <w:szCs w:val="22"/>
    </w:rPr>
  </w:style>
  <w:style w:type="paragraph" w:styleId="1">
    <w:name w:val="heading 1"/>
    <w:basedOn w:val="a"/>
    <w:next w:val="a"/>
    <w:link w:val="1Char"/>
    <w:uiPriority w:val="9"/>
    <w:qFormat/>
    <w:pPr>
      <w:keepNext/>
      <w:keepLines/>
      <w:numPr>
        <w:numId w:val="1"/>
      </w:numPr>
      <w:ind w:firstLine="640"/>
      <w:outlineLvl w:val="0"/>
    </w:pPr>
    <w:rPr>
      <w:rFonts w:eastAsia="黑体"/>
      <w:bCs/>
      <w:kern w:val="44"/>
      <w:szCs w:val="44"/>
    </w:rPr>
  </w:style>
  <w:style w:type="paragraph" w:styleId="2">
    <w:name w:val="heading 2"/>
    <w:basedOn w:val="a"/>
    <w:next w:val="a"/>
    <w:link w:val="2Char"/>
    <w:uiPriority w:val="9"/>
    <w:unhideWhenUsed/>
    <w:qFormat/>
    <w:pPr>
      <w:keepNext/>
      <w:keepLines/>
      <w:numPr>
        <w:ilvl w:val="1"/>
        <w:numId w:val="1"/>
      </w:numPr>
      <w:spacing w:beforeLines="50" w:before="50" w:afterLines="50" w:after="50"/>
      <w:ind w:firstLineChars="0"/>
      <w:outlineLvl w:val="1"/>
    </w:pPr>
    <w:rPr>
      <w:rFonts w:ascii="楷体_GB2312" w:eastAsia="楷体_GB2312" w:hAnsi="楷体_GB2312" w:cstheme="majorBidi"/>
      <w:b/>
      <w:bCs/>
      <w:szCs w:val="32"/>
    </w:rPr>
  </w:style>
  <w:style w:type="paragraph" w:styleId="3">
    <w:name w:val="heading 3"/>
    <w:basedOn w:val="a"/>
    <w:next w:val="a"/>
    <w:link w:val="3Char"/>
    <w:uiPriority w:val="9"/>
    <w:unhideWhenUsed/>
    <w:qFormat/>
    <w:pPr>
      <w:keepNext/>
      <w:keepLines/>
      <w:numPr>
        <w:ilvl w:val="2"/>
        <w:numId w:val="1"/>
      </w:numPr>
      <w:ind w:firstLineChars="0"/>
      <w:outlineLvl w:val="2"/>
    </w:pPr>
    <w:rPr>
      <w:rFonts w:ascii="仿宋_GB2312"/>
      <w:b/>
      <w:bCs/>
      <w:szCs w:val="32"/>
    </w:rPr>
  </w:style>
  <w:style w:type="paragraph" w:styleId="4">
    <w:name w:val="heading 4"/>
    <w:basedOn w:val="a"/>
    <w:next w:val="a"/>
    <w:link w:val="4Char"/>
    <w:uiPriority w:val="9"/>
    <w:unhideWhenUsed/>
    <w:qFormat/>
    <w:pPr>
      <w:keepNext/>
      <w:keepLines/>
      <w:spacing w:before="280" w:after="290" w:line="376" w:lineRule="atLeast"/>
      <w:outlineLvl w:val="3"/>
    </w:pPr>
    <w:rPr>
      <w:rFonts w:asciiTheme="majorHAnsi" w:eastAsiaTheme="majorEastAsia" w:hAnsiTheme="majorHAnsi" w:cstheme="majorBidi"/>
      <w:b/>
      <w:bCs/>
      <w:sz w:val="28"/>
      <w:szCs w:val="28"/>
    </w:rPr>
  </w:style>
  <w:style w:type="paragraph" w:styleId="5">
    <w:name w:val="heading 5"/>
    <w:basedOn w:val="a"/>
    <w:next w:val="a"/>
    <w:link w:val="5Char"/>
    <w:uiPriority w:val="9"/>
    <w:unhideWhenUsed/>
    <w:qFormat/>
    <w:pPr>
      <w:keepNext/>
      <w:keepLines/>
      <w:spacing w:before="280" w:after="290" w:line="376" w:lineRule="auto"/>
      <w:ind w:firstLineChars="0" w:firstLine="0"/>
      <w:outlineLvl w:val="4"/>
    </w:pPr>
    <w:rPr>
      <w:rFonts w:ascii="仿宋_GB2312" w:hAnsi="等线" w:cs="Times New Roman"/>
      <w:b/>
      <w:bCs/>
      <w:sz w:val="28"/>
      <w:szCs w:val="28"/>
    </w:rPr>
  </w:style>
  <w:style w:type="paragraph" w:styleId="6">
    <w:name w:val="heading 6"/>
    <w:basedOn w:val="a"/>
    <w:next w:val="a"/>
    <w:link w:val="6Char"/>
    <w:uiPriority w:val="9"/>
    <w:unhideWhenUsed/>
    <w:qFormat/>
    <w:pPr>
      <w:keepNext/>
      <w:keepLines/>
      <w:tabs>
        <w:tab w:val="left" w:pos="360"/>
      </w:tabs>
      <w:spacing w:before="240" w:after="64" w:line="320" w:lineRule="auto"/>
      <w:ind w:firstLineChars="0" w:firstLine="0"/>
      <w:outlineLvl w:val="5"/>
    </w:pPr>
    <w:rPr>
      <w:rFonts w:asciiTheme="majorHAnsi" w:eastAsiaTheme="majorEastAsia" w:hAnsiTheme="majorHAnsi" w:cstheme="majorBidi"/>
      <w:b/>
      <w:bCs/>
      <w:sz w:val="24"/>
      <w:szCs w:val="24"/>
    </w:rPr>
  </w:style>
  <w:style w:type="paragraph" w:styleId="7">
    <w:name w:val="heading 7"/>
    <w:basedOn w:val="a"/>
    <w:next w:val="a"/>
    <w:link w:val="7Char"/>
    <w:uiPriority w:val="9"/>
    <w:unhideWhenUsed/>
    <w:qFormat/>
    <w:pPr>
      <w:keepNext/>
      <w:keepLines/>
      <w:tabs>
        <w:tab w:val="left" w:pos="360"/>
      </w:tabs>
      <w:spacing w:before="240" w:after="64" w:line="320" w:lineRule="auto"/>
      <w:ind w:firstLineChars="0" w:firstLine="0"/>
      <w:outlineLvl w:val="6"/>
    </w:pPr>
    <w:rPr>
      <w:rFonts w:ascii="仿宋_GB2312" w:hAnsi="等线" w:cs="Times New Roman"/>
      <w:b/>
      <w:bCs/>
      <w:sz w:val="24"/>
      <w:szCs w:val="24"/>
    </w:rPr>
  </w:style>
  <w:style w:type="paragraph" w:styleId="8">
    <w:name w:val="heading 8"/>
    <w:basedOn w:val="a"/>
    <w:next w:val="a"/>
    <w:link w:val="8Char"/>
    <w:uiPriority w:val="9"/>
    <w:unhideWhenUsed/>
    <w:qFormat/>
    <w:pPr>
      <w:keepNext/>
      <w:keepLines/>
      <w:tabs>
        <w:tab w:val="left" w:pos="360"/>
      </w:tabs>
      <w:spacing w:before="240" w:after="64" w:line="320" w:lineRule="auto"/>
      <w:ind w:firstLineChars="0" w:firstLine="0"/>
      <w:outlineLvl w:val="7"/>
    </w:pPr>
    <w:rPr>
      <w:rFonts w:asciiTheme="majorHAnsi" w:eastAsiaTheme="majorEastAsia" w:hAnsiTheme="majorHAnsi" w:cstheme="majorBidi"/>
      <w:sz w:val="24"/>
      <w:szCs w:val="24"/>
    </w:rPr>
  </w:style>
  <w:style w:type="paragraph" w:styleId="9">
    <w:name w:val="heading 9"/>
    <w:basedOn w:val="a"/>
    <w:next w:val="a"/>
    <w:link w:val="9Char"/>
    <w:uiPriority w:val="9"/>
    <w:unhideWhenUsed/>
    <w:qFormat/>
    <w:pPr>
      <w:keepNext/>
      <w:keepLines/>
      <w:spacing w:before="240" w:after="64" w:line="320" w:lineRule="auto"/>
      <w:ind w:firstLineChars="0" w:firstLine="0"/>
      <w:outlineLvl w:val="8"/>
    </w:pPr>
    <w:rPr>
      <w:rFonts w:asciiTheme="majorHAnsi" w:eastAsiaTheme="majorEastAsia" w:hAnsiTheme="majorHAnsi" w:cstheme="majorBidi"/>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caption"/>
    <w:basedOn w:val="a"/>
    <w:next w:val="a"/>
    <w:link w:val="Char"/>
    <w:unhideWhenUsed/>
    <w:qFormat/>
    <w:pPr>
      <w:spacing w:line="240" w:lineRule="auto"/>
    </w:pPr>
    <w:rPr>
      <w:rFonts w:asciiTheme="majorHAnsi" w:eastAsia="黑体" w:hAnsiTheme="majorHAnsi" w:cstheme="majorBidi"/>
      <w:sz w:val="20"/>
      <w:szCs w:val="20"/>
    </w:rPr>
  </w:style>
  <w:style w:type="paragraph" w:styleId="a4">
    <w:name w:val="annotation text"/>
    <w:basedOn w:val="a"/>
    <w:link w:val="Char0"/>
    <w:uiPriority w:val="99"/>
    <w:semiHidden/>
    <w:unhideWhenUsed/>
    <w:qFormat/>
    <w:pPr>
      <w:jc w:val="left"/>
    </w:pPr>
  </w:style>
  <w:style w:type="paragraph" w:styleId="30">
    <w:name w:val="toc 3"/>
    <w:basedOn w:val="a"/>
    <w:next w:val="a"/>
    <w:uiPriority w:val="39"/>
    <w:unhideWhenUsed/>
    <w:qFormat/>
    <w:pPr>
      <w:ind w:leftChars="400" w:left="400" w:firstLineChars="0" w:firstLine="0"/>
    </w:pPr>
  </w:style>
  <w:style w:type="paragraph" w:styleId="a5">
    <w:name w:val="Balloon Text"/>
    <w:basedOn w:val="a"/>
    <w:link w:val="Char1"/>
    <w:uiPriority w:val="99"/>
    <w:semiHidden/>
    <w:unhideWhenUsed/>
    <w:qFormat/>
    <w:pPr>
      <w:spacing w:line="240" w:lineRule="auto"/>
    </w:pPr>
    <w:rPr>
      <w:sz w:val="18"/>
      <w:szCs w:val="18"/>
    </w:rPr>
  </w:style>
  <w:style w:type="paragraph" w:styleId="a6">
    <w:name w:val="footer"/>
    <w:basedOn w:val="a"/>
    <w:link w:val="Char2"/>
    <w:uiPriority w:val="99"/>
    <w:unhideWhenUsed/>
    <w:qFormat/>
    <w:pPr>
      <w:tabs>
        <w:tab w:val="center" w:pos="4153"/>
        <w:tab w:val="right" w:pos="8306"/>
      </w:tabs>
      <w:snapToGrid w:val="0"/>
      <w:spacing w:line="240" w:lineRule="atLeast"/>
      <w:jc w:val="left"/>
    </w:pPr>
    <w:rPr>
      <w:sz w:val="18"/>
      <w:szCs w:val="18"/>
    </w:rPr>
  </w:style>
  <w:style w:type="paragraph" w:styleId="a7">
    <w:name w:val="header"/>
    <w:basedOn w:val="a"/>
    <w:link w:val="Char3"/>
    <w:uiPriority w:val="99"/>
    <w:unhideWhenUsed/>
    <w:qFormat/>
    <w:pPr>
      <w:pBdr>
        <w:bottom w:val="single" w:sz="6" w:space="1" w:color="auto"/>
      </w:pBdr>
      <w:tabs>
        <w:tab w:val="center" w:pos="4153"/>
        <w:tab w:val="right" w:pos="8306"/>
      </w:tabs>
      <w:snapToGrid w:val="0"/>
      <w:spacing w:line="240" w:lineRule="atLeast"/>
      <w:jc w:val="center"/>
    </w:pPr>
    <w:rPr>
      <w:sz w:val="18"/>
      <w:szCs w:val="18"/>
    </w:rPr>
  </w:style>
  <w:style w:type="paragraph" w:styleId="10">
    <w:name w:val="toc 1"/>
    <w:basedOn w:val="a"/>
    <w:next w:val="a"/>
    <w:uiPriority w:val="39"/>
    <w:unhideWhenUsed/>
    <w:qFormat/>
    <w:pPr>
      <w:tabs>
        <w:tab w:val="right" w:leader="dot" w:pos="8296"/>
      </w:tabs>
      <w:ind w:firstLineChars="0" w:firstLine="0"/>
      <w:jc w:val="center"/>
    </w:pPr>
    <w:rPr>
      <w:rFonts w:eastAsia="黑体"/>
      <w:szCs w:val="24"/>
    </w:rPr>
  </w:style>
  <w:style w:type="paragraph" w:styleId="a8">
    <w:name w:val="Subtitle"/>
    <w:basedOn w:val="a"/>
    <w:next w:val="a"/>
    <w:link w:val="Char4"/>
    <w:uiPriority w:val="11"/>
    <w:qFormat/>
    <w:pPr>
      <w:spacing w:before="240" w:after="60" w:line="312" w:lineRule="atLeast"/>
      <w:jc w:val="center"/>
      <w:outlineLvl w:val="1"/>
    </w:pPr>
    <w:rPr>
      <w:rFonts w:asciiTheme="minorHAnsi" w:eastAsiaTheme="minorEastAsia" w:hAnsiTheme="minorHAnsi"/>
      <w:b/>
      <w:bCs/>
      <w:kern w:val="28"/>
      <w:szCs w:val="32"/>
    </w:rPr>
  </w:style>
  <w:style w:type="paragraph" w:styleId="20">
    <w:name w:val="toc 2"/>
    <w:basedOn w:val="a"/>
    <w:next w:val="a"/>
    <w:uiPriority w:val="39"/>
    <w:unhideWhenUsed/>
    <w:qFormat/>
    <w:pPr>
      <w:ind w:leftChars="200" w:left="200" w:firstLineChars="0" w:firstLine="0"/>
    </w:pPr>
    <w:rPr>
      <w:rFonts w:eastAsia="楷体_GB2312"/>
    </w:rPr>
  </w:style>
  <w:style w:type="paragraph" w:styleId="a9">
    <w:name w:val="Title"/>
    <w:basedOn w:val="a"/>
    <w:next w:val="a"/>
    <w:link w:val="Char5"/>
    <w:uiPriority w:val="10"/>
    <w:qFormat/>
    <w:pPr>
      <w:spacing w:before="240" w:after="60"/>
      <w:ind w:firstLineChars="0" w:firstLine="0"/>
      <w:jc w:val="center"/>
      <w:outlineLvl w:val="0"/>
    </w:pPr>
    <w:rPr>
      <w:rFonts w:asciiTheme="majorHAnsi" w:eastAsia="方正小标宋简体" w:hAnsiTheme="majorHAnsi" w:cstheme="majorBidi"/>
      <w:bCs/>
      <w:sz w:val="44"/>
      <w:szCs w:val="32"/>
    </w:rPr>
  </w:style>
  <w:style w:type="paragraph" w:styleId="aa">
    <w:name w:val="annotation subject"/>
    <w:basedOn w:val="a4"/>
    <w:next w:val="a4"/>
    <w:link w:val="Char6"/>
    <w:uiPriority w:val="99"/>
    <w:semiHidden/>
    <w:unhideWhenUsed/>
    <w:qFormat/>
    <w:rPr>
      <w:b/>
      <w:bCs/>
    </w:rPr>
  </w:style>
  <w:style w:type="table" w:styleId="ab">
    <w:name w:val="Table Grid"/>
    <w:basedOn w:val="a1"/>
    <w:uiPriority w:val="39"/>
    <w:qFormat/>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c">
    <w:name w:val="Hyperlink"/>
    <w:basedOn w:val="a0"/>
    <w:uiPriority w:val="99"/>
    <w:unhideWhenUsed/>
    <w:qFormat/>
    <w:rPr>
      <w:color w:val="0563C1" w:themeColor="hyperlink"/>
      <w:u w:val="single"/>
    </w:rPr>
  </w:style>
  <w:style w:type="character" w:styleId="ad">
    <w:name w:val="annotation reference"/>
    <w:basedOn w:val="a0"/>
    <w:uiPriority w:val="99"/>
    <w:semiHidden/>
    <w:unhideWhenUsed/>
    <w:qFormat/>
    <w:rPr>
      <w:sz w:val="21"/>
      <w:szCs w:val="21"/>
    </w:rPr>
  </w:style>
  <w:style w:type="character" w:customStyle="1" w:styleId="Char5">
    <w:name w:val="标题 Char"/>
    <w:basedOn w:val="a0"/>
    <w:link w:val="a9"/>
    <w:uiPriority w:val="10"/>
    <w:qFormat/>
    <w:rPr>
      <w:rFonts w:asciiTheme="majorHAnsi" w:eastAsia="方正小标宋简体" w:hAnsiTheme="majorHAnsi" w:cstheme="majorBidi"/>
      <w:bCs/>
      <w:sz w:val="44"/>
      <w:szCs w:val="32"/>
    </w:rPr>
  </w:style>
  <w:style w:type="character" w:customStyle="1" w:styleId="1Char">
    <w:name w:val="标题 1 Char"/>
    <w:basedOn w:val="a0"/>
    <w:link w:val="1"/>
    <w:uiPriority w:val="9"/>
    <w:qFormat/>
    <w:rPr>
      <w:rFonts w:ascii="Times New Roman" w:eastAsia="黑体" w:hAnsi="Times New Roman"/>
      <w:bCs/>
      <w:kern w:val="44"/>
      <w:sz w:val="32"/>
      <w:szCs w:val="44"/>
    </w:rPr>
  </w:style>
  <w:style w:type="character" w:customStyle="1" w:styleId="2Char">
    <w:name w:val="标题 2 Char"/>
    <w:basedOn w:val="a0"/>
    <w:link w:val="2"/>
    <w:uiPriority w:val="9"/>
    <w:qFormat/>
    <w:rPr>
      <w:rFonts w:ascii="楷体_GB2312" w:eastAsia="楷体_GB2312" w:hAnsi="楷体_GB2312" w:cstheme="majorBidi"/>
      <w:b/>
      <w:bCs/>
      <w:kern w:val="2"/>
      <w:sz w:val="32"/>
      <w:szCs w:val="32"/>
    </w:rPr>
  </w:style>
  <w:style w:type="character" w:customStyle="1" w:styleId="3Char">
    <w:name w:val="标题 3 Char"/>
    <w:basedOn w:val="a0"/>
    <w:link w:val="3"/>
    <w:uiPriority w:val="9"/>
    <w:qFormat/>
    <w:rPr>
      <w:rFonts w:ascii="仿宋_GB2312" w:eastAsia="仿宋_GB2312" w:hAnsi="Times New Roman"/>
      <w:b/>
      <w:bCs/>
      <w:kern w:val="2"/>
      <w:sz w:val="32"/>
      <w:szCs w:val="32"/>
    </w:rPr>
  </w:style>
  <w:style w:type="character" w:customStyle="1" w:styleId="Char3">
    <w:name w:val="页眉 Char"/>
    <w:basedOn w:val="a0"/>
    <w:link w:val="a7"/>
    <w:uiPriority w:val="99"/>
    <w:qFormat/>
    <w:rPr>
      <w:rFonts w:ascii="Times New Roman" w:eastAsia="仿宋_GB2312" w:hAnsi="Times New Roman"/>
      <w:sz w:val="18"/>
      <w:szCs w:val="18"/>
    </w:rPr>
  </w:style>
  <w:style w:type="character" w:customStyle="1" w:styleId="Char2">
    <w:name w:val="页脚 Char"/>
    <w:basedOn w:val="a0"/>
    <w:link w:val="a6"/>
    <w:uiPriority w:val="99"/>
    <w:qFormat/>
    <w:rPr>
      <w:rFonts w:ascii="Times New Roman" w:eastAsia="仿宋_GB2312" w:hAnsi="Times New Roman"/>
      <w:sz w:val="18"/>
      <w:szCs w:val="18"/>
    </w:rPr>
  </w:style>
  <w:style w:type="character" w:customStyle="1" w:styleId="Char4">
    <w:name w:val="副标题 Char"/>
    <w:basedOn w:val="a0"/>
    <w:link w:val="a8"/>
    <w:uiPriority w:val="11"/>
    <w:qFormat/>
    <w:rPr>
      <w:b/>
      <w:bCs/>
      <w:kern w:val="28"/>
      <w:sz w:val="32"/>
      <w:szCs w:val="32"/>
    </w:rPr>
  </w:style>
  <w:style w:type="character" w:customStyle="1" w:styleId="Char1">
    <w:name w:val="批注框文本 Char"/>
    <w:basedOn w:val="a0"/>
    <w:link w:val="a5"/>
    <w:uiPriority w:val="99"/>
    <w:semiHidden/>
    <w:qFormat/>
    <w:rPr>
      <w:rFonts w:ascii="Times New Roman" w:eastAsia="仿宋_GB2312" w:hAnsi="Times New Roman"/>
      <w:kern w:val="2"/>
      <w:sz w:val="18"/>
      <w:szCs w:val="18"/>
    </w:rPr>
  </w:style>
  <w:style w:type="character" w:customStyle="1" w:styleId="Char0">
    <w:name w:val="批注文字 Char"/>
    <w:basedOn w:val="a0"/>
    <w:link w:val="a4"/>
    <w:uiPriority w:val="99"/>
    <w:semiHidden/>
    <w:qFormat/>
    <w:rPr>
      <w:rFonts w:ascii="Times New Roman" w:eastAsia="仿宋_GB2312" w:hAnsi="Times New Roman"/>
      <w:sz w:val="32"/>
    </w:rPr>
  </w:style>
  <w:style w:type="character" w:customStyle="1" w:styleId="Char6">
    <w:name w:val="批注主题 Char"/>
    <w:basedOn w:val="Char0"/>
    <w:link w:val="aa"/>
    <w:uiPriority w:val="99"/>
    <w:semiHidden/>
    <w:qFormat/>
    <w:rPr>
      <w:rFonts w:ascii="Times New Roman" w:eastAsia="仿宋_GB2312" w:hAnsi="Times New Roman"/>
      <w:b/>
      <w:bCs/>
      <w:sz w:val="32"/>
    </w:rPr>
  </w:style>
  <w:style w:type="paragraph" w:styleId="ae">
    <w:name w:val="List Paragraph"/>
    <w:basedOn w:val="a"/>
    <w:uiPriority w:val="34"/>
    <w:qFormat/>
    <w:pPr>
      <w:ind w:firstLine="420"/>
    </w:pPr>
  </w:style>
  <w:style w:type="character" w:customStyle="1" w:styleId="4Char">
    <w:name w:val="标题 4 Char"/>
    <w:basedOn w:val="a0"/>
    <w:link w:val="4"/>
    <w:uiPriority w:val="9"/>
    <w:qFormat/>
    <w:rPr>
      <w:rFonts w:asciiTheme="majorHAnsi" w:eastAsiaTheme="majorEastAsia" w:hAnsiTheme="majorHAnsi" w:cstheme="majorBidi"/>
      <w:b/>
      <w:bCs/>
      <w:sz w:val="28"/>
      <w:szCs w:val="28"/>
    </w:rPr>
  </w:style>
  <w:style w:type="paragraph" w:customStyle="1" w:styleId="af">
    <w:name w:val="规划正文"/>
    <w:basedOn w:val="a"/>
    <w:qFormat/>
    <w:pPr>
      <w:ind w:firstLine="640"/>
    </w:pPr>
    <w:rPr>
      <w:rFonts w:ascii="仿宋_GB2312" w:hAnsi="仿宋_GB2312"/>
      <w:szCs w:val="32"/>
    </w:rPr>
  </w:style>
  <w:style w:type="character" w:customStyle="1" w:styleId="Char">
    <w:name w:val="题注 Char"/>
    <w:link w:val="a3"/>
    <w:qFormat/>
    <w:rPr>
      <w:rFonts w:asciiTheme="majorHAnsi" w:eastAsia="黑体" w:hAnsiTheme="majorHAnsi" w:cstheme="majorBidi"/>
      <w:sz w:val="20"/>
      <w:szCs w:val="20"/>
    </w:rPr>
  </w:style>
  <w:style w:type="paragraph" w:customStyle="1" w:styleId="af0">
    <w:name w:val="段落正文"/>
    <w:basedOn w:val="a"/>
    <w:qFormat/>
    <w:pPr>
      <w:widowControl/>
      <w:ind w:firstLineChars="0" w:firstLine="720"/>
    </w:pPr>
    <w:rPr>
      <w:rFonts w:ascii="仿宋_GB2312" w:hAnsi="仿宋_GB2312" w:cs="Times New Roman"/>
      <w:kern w:val="0"/>
      <w:szCs w:val="32"/>
    </w:rPr>
  </w:style>
  <w:style w:type="character" w:customStyle="1" w:styleId="5Char">
    <w:name w:val="标题 5 Char"/>
    <w:basedOn w:val="a0"/>
    <w:link w:val="5"/>
    <w:uiPriority w:val="9"/>
    <w:qFormat/>
    <w:rPr>
      <w:rFonts w:ascii="仿宋_GB2312" w:eastAsia="仿宋_GB2312" w:hAnsi="等线" w:cs="Times New Roman"/>
      <w:b/>
      <w:bCs/>
      <w:sz w:val="28"/>
      <w:szCs w:val="28"/>
    </w:rPr>
  </w:style>
  <w:style w:type="character" w:customStyle="1" w:styleId="6Char">
    <w:name w:val="标题 6 Char"/>
    <w:basedOn w:val="a0"/>
    <w:link w:val="6"/>
    <w:uiPriority w:val="9"/>
    <w:qFormat/>
    <w:rPr>
      <w:rFonts w:asciiTheme="majorHAnsi" w:eastAsiaTheme="majorEastAsia" w:hAnsiTheme="majorHAnsi" w:cstheme="majorBidi"/>
      <w:b/>
      <w:bCs/>
      <w:sz w:val="24"/>
      <w:szCs w:val="24"/>
    </w:rPr>
  </w:style>
  <w:style w:type="character" w:customStyle="1" w:styleId="7Char">
    <w:name w:val="标题 7 Char"/>
    <w:basedOn w:val="a0"/>
    <w:link w:val="7"/>
    <w:uiPriority w:val="9"/>
    <w:qFormat/>
    <w:rPr>
      <w:rFonts w:ascii="仿宋_GB2312" w:eastAsia="仿宋_GB2312" w:hAnsi="等线" w:cs="Times New Roman"/>
      <w:b/>
      <w:bCs/>
      <w:sz w:val="24"/>
      <w:szCs w:val="24"/>
    </w:rPr>
  </w:style>
  <w:style w:type="character" w:customStyle="1" w:styleId="8Char">
    <w:name w:val="标题 8 Char"/>
    <w:basedOn w:val="a0"/>
    <w:link w:val="8"/>
    <w:uiPriority w:val="9"/>
    <w:qFormat/>
    <w:rPr>
      <w:rFonts w:asciiTheme="majorHAnsi" w:eastAsiaTheme="majorEastAsia" w:hAnsiTheme="majorHAnsi" w:cstheme="majorBidi"/>
      <w:sz w:val="24"/>
      <w:szCs w:val="24"/>
    </w:rPr>
  </w:style>
  <w:style w:type="character" w:customStyle="1" w:styleId="9Char">
    <w:name w:val="标题 9 Char"/>
    <w:basedOn w:val="a0"/>
    <w:link w:val="9"/>
    <w:uiPriority w:val="9"/>
    <w:qFormat/>
    <w:rPr>
      <w:rFonts w:asciiTheme="majorHAnsi" w:eastAsiaTheme="majorEastAsia" w:hAnsiTheme="majorHAnsi" w:cstheme="majorBidi"/>
      <w:sz w:val="32"/>
      <w:szCs w:val="2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qFormat="1"/>
    <w:lsdException w:name="heading 3" w:semiHidden="0" w:uiPriority="9" w:qFormat="1"/>
    <w:lsdException w:name="heading 4" w:semiHidden="0" w:uiPriority="9" w:qFormat="1"/>
    <w:lsdException w:name="heading 5" w:semiHidden="0" w:uiPriority="9" w:qFormat="1"/>
    <w:lsdException w:name="heading 6" w:semiHidden="0" w:uiPriority="9" w:qFormat="1"/>
    <w:lsdException w:name="heading 7" w:semiHidden="0" w:uiPriority="9" w:qFormat="1"/>
    <w:lsdException w:name="heading 8" w:semiHidden="0" w:uiPriority="9" w:qFormat="1"/>
    <w:lsdException w:name="heading 9" w:semiHidden="0" w:uiPriority="9" w:qFormat="1"/>
    <w:lsdException w:name="toc 1" w:semiHidden="0" w:uiPriority="39" w:qFormat="1"/>
    <w:lsdException w:name="toc 2" w:semiHidden="0" w:uiPriority="39" w:qFormat="1"/>
    <w:lsdException w:name="toc 3" w:semiHidden="0" w:uiPriority="39" w:qFormat="1"/>
    <w:lsdException w:name="toc 4" w:uiPriority="39"/>
    <w:lsdException w:name="toc 5" w:uiPriority="39"/>
    <w:lsdException w:name="toc 6" w:uiPriority="39"/>
    <w:lsdException w:name="toc 7" w:uiPriority="39"/>
    <w:lsdException w:name="toc 8" w:uiPriority="39"/>
    <w:lsdException w:name="toc 9" w:uiPriority="39"/>
    <w:lsdException w:name="annotation text" w:qFormat="1"/>
    <w:lsdException w:name="header" w:semiHidden="0" w:qFormat="1"/>
    <w:lsdException w:name="footer" w:semiHidden="0" w:qFormat="1"/>
    <w:lsdException w:name="caption" w:semiHidden="0" w:uiPriority="0" w:qFormat="1"/>
    <w:lsdException w:name="annotation reference" w:qFormat="1"/>
    <w:lsdException w:name="Title" w:semiHidden="0" w:uiPriority="10" w:unhideWhenUsed="0" w:qFormat="1"/>
    <w:lsdException w:name="Default Paragraph Font" w:uiPriority="1" w:qFormat="1"/>
    <w:lsdException w:name="Subtitle" w:semiHidden="0" w:uiPriority="11" w:unhideWhenUsed="0" w:qFormat="1"/>
    <w:lsdException w:name="Hyperlink" w:semiHidden="0" w:qFormat="1"/>
    <w:lsdException w:name="Strong" w:semiHidden="0" w:uiPriority="22" w:unhideWhenUsed="0" w:qFormat="1"/>
    <w:lsdException w:name="Emphasis" w:semiHidden="0" w:uiPriority="20" w:unhideWhenUsed="0" w:qFormat="1"/>
    <w:lsdException w:name="Normal Table" w:qFormat="1"/>
    <w:lsdException w:name="annotation subject" w:qFormat="1"/>
    <w:lsdException w:name="Balloon Text" w:qFormat="1"/>
    <w:lsdException w:name="Table Grid" w:semiHidden="0" w:uiPriority="39"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spacing w:line="600" w:lineRule="exact"/>
      <w:ind w:firstLineChars="200" w:firstLine="200"/>
      <w:jc w:val="both"/>
    </w:pPr>
    <w:rPr>
      <w:rFonts w:ascii="Times New Roman" w:eastAsia="仿宋_GB2312" w:hAnsi="Times New Roman"/>
      <w:kern w:val="2"/>
      <w:sz w:val="32"/>
      <w:szCs w:val="22"/>
    </w:rPr>
  </w:style>
  <w:style w:type="paragraph" w:styleId="1">
    <w:name w:val="heading 1"/>
    <w:basedOn w:val="a"/>
    <w:next w:val="a"/>
    <w:link w:val="1Char"/>
    <w:uiPriority w:val="9"/>
    <w:qFormat/>
    <w:pPr>
      <w:keepNext/>
      <w:keepLines/>
      <w:numPr>
        <w:numId w:val="1"/>
      </w:numPr>
      <w:ind w:firstLine="640"/>
      <w:outlineLvl w:val="0"/>
    </w:pPr>
    <w:rPr>
      <w:rFonts w:eastAsia="黑体"/>
      <w:bCs/>
      <w:kern w:val="44"/>
      <w:szCs w:val="44"/>
    </w:rPr>
  </w:style>
  <w:style w:type="paragraph" w:styleId="2">
    <w:name w:val="heading 2"/>
    <w:basedOn w:val="a"/>
    <w:next w:val="a"/>
    <w:link w:val="2Char"/>
    <w:uiPriority w:val="9"/>
    <w:unhideWhenUsed/>
    <w:qFormat/>
    <w:pPr>
      <w:keepNext/>
      <w:keepLines/>
      <w:numPr>
        <w:ilvl w:val="1"/>
        <w:numId w:val="1"/>
      </w:numPr>
      <w:spacing w:beforeLines="50" w:before="50" w:afterLines="50" w:after="50"/>
      <w:ind w:firstLineChars="0"/>
      <w:outlineLvl w:val="1"/>
    </w:pPr>
    <w:rPr>
      <w:rFonts w:ascii="楷体_GB2312" w:eastAsia="楷体_GB2312" w:hAnsi="楷体_GB2312" w:cstheme="majorBidi"/>
      <w:b/>
      <w:bCs/>
      <w:szCs w:val="32"/>
    </w:rPr>
  </w:style>
  <w:style w:type="paragraph" w:styleId="3">
    <w:name w:val="heading 3"/>
    <w:basedOn w:val="a"/>
    <w:next w:val="a"/>
    <w:link w:val="3Char"/>
    <w:uiPriority w:val="9"/>
    <w:unhideWhenUsed/>
    <w:qFormat/>
    <w:pPr>
      <w:keepNext/>
      <w:keepLines/>
      <w:numPr>
        <w:ilvl w:val="2"/>
        <w:numId w:val="1"/>
      </w:numPr>
      <w:ind w:firstLineChars="0"/>
      <w:outlineLvl w:val="2"/>
    </w:pPr>
    <w:rPr>
      <w:rFonts w:ascii="仿宋_GB2312"/>
      <w:b/>
      <w:bCs/>
      <w:szCs w:val="32"/>
    </w:rPr>
  </w:style>
  <w:style w:type="paragraph" w:styleId="4">
    <w:name w:val="heading 4"/>
    <w:basedOn w:val="a"/>
    <w:next w:val="a"/>
    <w:link w:val="4Char"/>
    <w:uiPriority w:val="9"/>
    <w:unhideWhenUsed/>
    <w:qFormat/>
    <w:pPr>
      <w:keepNext/>
      <w:keepLines/>
      <w:spacing w:before="280" w:after="290" w:line="376" w:lineRule="atLeast"/>
      <w:outlineLvl w:val="3"/>
    </w:pPr>
    <w:rPr>
      <w:rFonts w:asciiTheme="majorHAnsi" w:eastAsiaTheme="majorEastAsia" w:hAnsiTheme="majorHAnsi" w:cstheme="majorBidi"/>
      <w:b/>
      <w:bCs/>
      <w:sz w:val="28"/>
      <w:szCs w:val="28"/>
    </w:rPr>
  </w:style>
  <w:style w:type="paragraph" w:styleId="5">
    <w:name w:val="heading 5"/>
    <w:basedOn w:val="a"/>
    <w:next w:val="a"/>
    <w:link w:val="5Char"/>
    <w:uiPriority w:val="9"/>
    <w:unhideWhenUsed/>
    <w:qFormat/>
    <w:pPr>
      <w:keepNext/>
      <w:keepLines/>
      <w:spacing w:before="280" w:after="290" w:line="376" w:lineRule="auto"/>
      <w:ind w:firstLineChars="0" w:firstLine="0"/>
      <w:outlineLvl w:val="4"/>
    </w:pPr>
    <w:rPr>
      <w:rFonts w:ascii="仿宋_GB2312" w:hAnsi="等线" w:cs="Times New Roman"/>
      <w:b/>
      <w:bCs/>
      <w:sz w:val="28"/>
      <w:szCs w:val="28"/>
    </w:rPr>
  </w:style>
  <w:style w:type="paragraph" w:styleId="6">
    <w:name w:val="heading 6"/>
    <w:basedOn w:val="a"/>
    <w:next w:val="a"/>
    <w:link w:val="6Char"/>
    <w:uiPriority w:val="9"/>
    <w:unhideWhenUsed/>
    <w:qFormat/>
    <w:pPr>
      <w:keepNext/>
      <w:keepLines/>
      <w:tabs>
        <w:tab w:val="left" w:pos="360"/>
      </w:tabs>
      <w:spacing w:before="240" w:after="64" w:line="320" w:lineRule="auto"/>
      <w:ind w:firstLineChars="0" w:firstLine="0"/>
      <w:outlineLvl w:val="5"/>
    </w:pPr>
    <w:rPr>
      <w:rFonts w:asciiTheme="majorHAnsi" w:eastAsiaTheme="majorEastAsia" w:hAnsiTheme="majorHAnsi" w:cstheme="majorBidi"/>
      <w:b/>
      <w:bCs/>
      <w:sz w:val="24"/>
      <w:szCs w:val="24"/>
    </w:rPr>
  </w:style>
  <w:style w:type="paragraph" w:styleId="7">
    <w:name w:val="heading 7"/>
    <w:basedOn w:val="a"/>
    <w:next w:val="a"/>
    <w:link w:val="7Char"/>
    <w:uiPriority w:val="9"/>
    <w:unhideWhenUsed/>
    <w:qFormat/>
    <w:pPr>
      <w:keepNext/>
      <w:keepLines/>
      <w:tabs>
        <w:tab w:val="left" w:pos="360"/>
      </w:tabs>
      <w:spacing w:before="240" w:after="64" w:line="320" w:lineRule="auto"/>
      <w:ind w:firstLineChars="0" w:firstLine="0"/>
      <w:outlineLvl w:val="6"/>
    </w:pPr>
    <w:rPr>
      <w:rFonts w:ascii="仿宋_GB2312" w:hAnsi="等线" w:cs="Times New Roman"/>
      <w:b/>
      <w:bCs/>
      <w:sz w:val="24"/>
      <w:szCs w:val="24"/>
    </w:rPr>
  </w:style>
  <w:style w:type="paragraph" w:styleId="8">
    <w:name w:val="heading 8"/>
    <w:basedOn w:val="a"/>
    <w:next w:val="a"/>
    <w:link w:val="8Char"/>
    <w:uiPriority w:val="9"/>
    <w:unhideWhenUsed/>
    <w:qFormat/>
    <w:pPr>
      <w:keepNext/>
      <w:keepLines/>
      <w:tabs>
        <w:tab w:val="left" w:pos="360"/>
      </w:tabs>
      <w:spacing w:before="240" w:after="64" w:line="320" w:lineRule="auto"/>
      <w:ind w:firstLineChars="0" w:firstLine="0"/>
      <w:outlineLvl w:val="7"/>
    </w:pPr>
    <w:rPr>
      <w:rFonts w:asciiTheme="majorHAnsi" w:eastAsiaTheme="majorEastAsia" w:hAnsiTheme="majorHAnsi" w:cstheme="majorBidi"/>
      <w:sz w:val="24"/>
      <w:szCs w:val="24"/>
    </w:rPr>
  </w:style>
  <w:style w:type="paragraph" w:styleId="9">
    <w:name w:val="heading 9"/>
    <w:basedOn w:val="a"/>
    <w:next w:val="a"/>
    <w:link w:val="9Char"/>
    <w:uiPriority w:val="9"/>
    <w:unhideWhenUsed/>
    <w:qFormat/>
    <w:pPr>
      <w:keepNext/>
      <w:keepLines/>
      <w:spacing w:before="240" w:after="64" w:line="320" w:lineRule="auto"/>
      <w:ind w:firstLineChars="0" w:firstLine="0"/>
      <w:outlineLvl w:val="8"/>
    </w:pPr>
    <w:rPr>
      <w:rFonts w:asciiTheme="majorHAnsi" w:eastAsiaTheme="majorEastAsia" w:hAnsiTheme="majorHAnsi" w:cstheme="majorBidi"/>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caption"/>
    <w:basedOn w:val="a"/>
    <w:next w:val="a"/>
    <w:link w:val="Char"/>
    <w:unhideWhenUsed/>
    <w:qFormat/>
    <w:pPr>
      <w:spacing w:line="240" w:lineRule="auto"/>
    </w:pPr>
    <w:rPr>
      <w:rFonts w:asciiTheme="majorHAnsi" w:eastAsia="黑体" w:hAnsiTheme="majorHAnsi" w:cstheme="majorBidi"/>
      <w:sz w:val="20"/>
      <w:szCs w:val="20"/>
    </w:rPr>
  </w:style>
  <w:style w:type="paragraph" w:styleId="a4">
    <w:name w:val="annotation text"/>
    <w:basedOn w:val="a"/>
    <w:link w:val="Char0"/>
    <w:uiPriority w:val="99"/>
    <w:semiHidden/>
    <w:unhideWhenUsed/>
    <w:qFormat/>
    <w:pPr>
      <w:jc w:val="left"/>
    </w:pPr>
  </w:style>
  <w:style w:type="paragraph" w:styleId="30">
    <w:name w:val="toc 3"/>
    <w:basedOn w:val="a"/>
    <w:next w:val="a"/>
    <w:uiPriority w:val="39"/>
    <w:unhideWhenUsed/>
    <w:qFormat/>
    <w:pPr>
      <w:ind w:leftChars="400" w:left="400" w:firstLineChars="0" w:firstLine="0"/>
    </w:pPr>
  </w:style>
  <w:style w:type="paragraph" w:styleId="a5">
    <w:name w:val="Balloon Text"/>
    <w:basedOn w:val="a"/>
    <w:link w:val="Char1"/>
    <w:uiPriority w:val="99"/>
    <w:semiHidden/>
    <w:unhideWhenUsed/>
    <w:qFormat/>
    <w:pPr>
      <w:spacing w:line="240" w:lineRule="auto"/>
    </w:pPr>
    <w:rPr>
      <w:sz w:val="18"/>
      <w:szCs w:val="18"/>
    </w:rPr>
  </w:style>
  <w:style w:type="paragraph" w:styleId="a6">
    <w:name w:val="footer"/>
    <w:basedOn w:val="a"/>
    <w:link w:val="Char2"/>
    <w:uiPriority w:val="99"/>
    <w:unhideWhenUsed/>
    <w:qFormat/>
    <w:pPr>
      <w:tabs>
        <w:tab w:val="center" w:pos="4153"/>
        <w:tab w:val="right" w:pos="8306"/>
      </w:tabs>
      <w:snapToGrid w:val="0"/>
      <w:spacing w:line="240" w:lineRule="atLeast"/>
      <w:jc w:val="left"/>
    </w:pPr>
    <w:rPr>
      <w:sz w:val="18"/>
      <w:szCs w:val="18"/>
    </w:rPr>
  </w:style>
  <w:style w:type="paragraph" w:styleId="a7">
    <w:name w:val="header"/>
    <w:basedOn w:val="a"/>
    <w:link w:val="Char3"/>
    <w:uiPriority w:val="99"/>
    <w:unhideWhenUsed/>
    <w:qFormat/>
    <w:pPr>
      <w:pBdr>
        <w:bottom w:val="single" w:sz="6" w:space="1" w:color="auto"/>
      </w:pBdr>
      <w:tabs>
        <w:tab w:val="center" w:pos="4153"/>
        <w:tab w:val="right" w:pos="8306"/>
      </w:tabs>
      <w:snapToGrid w:val="0"/>
      <w:spacing w:line="240" w:lineRule="atLeast"/>
      <w:jc w:val="center"/>
    </w:pPr>
    <w:rPr>
      <w:sz w:val="18"/>
      <w:szCs w:val="18"/>
    </w:rPr>
  </w:style>
  <w:style w:type="paragraph" w:styleId="10">
    <w:name w:val="toc 1"/>
    <w:basedOn w:val="a"/>
    <w:next w:val="a"/>
    <w:uiPriority w:val="39"/>
    <w:unhideWhenUsed/>
    <w:qFormat/>
    <w:pPr>
      <w:tabs>
        <w:tab w:val="right" w:leader="dot" w:pos="8296"/>
      </w:tabs>
      <w:ind w:firstLineChars="0" w:firstLine="0"/>
      <w:jc w:val="center"/>
    </w:pPr>
    <w:rPr>
      <w:rFonts w:eastAsia="黑体"/>
      <w:szCs w:val="24"/>
    </w:rPr>
  </w:style>
  <w:style w:type="paragraph" w:styleId="a8">
    <w:name w:val="Subtitle"/>
    <w:basedOn w:val="a"/>
    <w:next w:val="a"/>
    <w:link w:val="Char4"/>
    <w:uiPriority w:val="11"/>
    <w:qFormat/>
    <w:pPr>
      <w:spacing w:before="240" w:after="60" w:line="312" w:lineRule="atLeast"/>
      <w:jc w:val="center"/>
      <w:outlineLvl w:val="1"/>
    </w:pPr>
    <w:rPr>
      <w:rFonts w:asciiTheme="minorHAnsi" w:eastAsiaTheme="minorEastAsia" w:hAnsiTheme="minorHAnsi"/>
      <w:b/>
      <w:bCs/>
      <w:kern w:val="28"/>
      <w:szCs w:val="32"/>
    </w:rPr>
  </w:style>
  <w:style w:type="paragraph" w:styleId="20">
    <w:name w:val="toc 2"/>
    <w:basedOn w:val="a"/>
    <w:next w:val="a"/>
    <w:uiPriority w:val="39"/>
    <w:unhideWhenUsed/>
    <w:qFormat/>
    <w:pPr>
      <w:ind w:leftChars="200" w:left="200" w:firstLineChars="0" w:firstLine="0"/>
    </w:pPr>
    <w:rPr>
      <w:rFonts w:eastAsia="楷体_GB2312"/>
    </w:rPr>
  </w:style>
  <w:style w:type="paragraph" w:styleId="a9">
    <w:name w:val="Title"/>
    <w:basedOn w:val="a"/>
    <w:next w:val="a"/>
    <w:link w:val="Char5"/>
    <w:uiPriority w:val="10"/>
    <w:qFormat/>
    <w:pPr>
      <w:spacing w:before="240" w:after="60"/>
      <w:ind w:firstLineChars="0" w:firstLine="0"/>
      <w:jc w:val="center"/>
      <w:outlineLvl w:val="0"/>
    </w:pPr>
    <w:rPr>
      <w:rFonts w:asciiTheme="majorHAnsi" w:eastAsia="方正小标宋简体" w:hAnsiTheme="majorHAnsi" w:cstheme="majorBidi"/>
      <w:bCs/>
      <w:sz w:val="44"/>
      <w:szCs w:val="32"/>
    </w:rPr>
  </w:style>
  <w:style w:type="paragraph" w:styleId="aa">
    <w:name w:val="annotation subject"/>
    <w:basedOn w:val="a4"/>
    <w:next w:val="a4"/>
    <w:link w:val="Char6"/>
    <w:uiPriority w:val="99"/>
    <w:semiHidden/>
    <w:unhideWhenUsed/>
    <w:qFormat/>
    <w:rPr>
      <w:b/>
      <w:bCs/>
    </w:rPr>
  </w:style>
  <w:style w:type="table" w:styleId="ab">
    <w:name w:val="Table Grid"/>
    <w:basedOn w:val="a1"/>
    <w:uiPriority w:val="39"/>
    <w:qFormat/>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c">
    <w:name w:val="Hyperlink"/>
    <w:basedOn w:val="a0"/>
    <w:uiPriority w:val="99"/>
    <w:unhideWhenUsed/>
    <w:qFormat/>
    <w:rPr>
      <w:color w:val="0563C1" w:themeColor="hyperlink"/>
      <w:u w:val="single"/>
    </w:rPr>
  </w:style>
  <w:style w:type="character" w:styleId="ad">
    <w:name w:val="annotation reference"/>
    <w:basedOn w:val="a0"/>
    <w:uiPriority w:val="99"/>
    <w:semiHidden/>
    <w:unhideWhenUsed/>
    <w:qFormat/>
    <w:rPr>
      <w:sz w:val="21"/>
      <w:szCs w:val="21"/>
    </w:rPr>
  </w:style>
  <w:style w:type="character" w:customStyle="1" w:styleId="Char5">
    <w:name w:val="标题 Char"/>
    <w:basedOn w:val="a0"/>
    <w:link w:val="a9"/>
    <w:uiPriority w:val="10"/>
    <w:qFormat/>
    <w:rPr>
      <w:rFonts w:asciiTheme="majorHAnsi" w:eastAsia="方正小标宋简体" w:hAnsiTheme="majorHAnsi" w:cstheme="majorBidi"/>
      <w:bCs/>
      <w:sz w:val="44"/>
      <w:szCs w:val="32"/>
    </w:rPr>
  </w:style>
  <w:style w:type="character" w:customStyle="1" w:styleId="1Char">
    <w:name w:val="标题 1 Char"/>
    <w:basedOn w:val="a0"/>
    <w:link w:val="1"/>
    <w:uiPriority w:val="9"/>
    <w:qFormat/>
    <w:rPr>
      <w:rFonts w:ascii="Times New Roman" w:eastAsia="黑体" w:hAnsi="Times New Roman"/>
      <w:bCs/>
      <w:kern w:val="44"/>
      <w:sz w:val="32"/>
      <w:szCs w:val="44"/>
    </w:rPr>
  </w:style>
  <w:style w:type="character" w:customStyle="1" w:styleId="2Char">
    <w:name w:val="标题 2 Char"/>
    <w:basedOn w:val="a0"/>
    <w:link w:val="2"/>
    <w:uiPriority w:val="9"/>
    <w:qFormat/>
    <w:rPr>
      <w:rFonts w:ascii="楷体_GB2312" w:eastAsia="楷体_GB2312" w:hAnsi="楷体_GB2312" w:cstheme="majorBidi"/>
      <w:b/>
      <w:bCs/>
      <w:kern w:val="2"/>
      <w:sz w:val="32"/>
      <w:szCs w:val="32"/>
    </w:rPr>
  </w:style>
  <w:style w:type="character" w:customStyle="1" w:styleId="3Char">
    <w:name w:val="标题 3 Char"/>
    <w:basedOn w:val="a0"/>
    <w:link w:val="3"/>
    <w:uiPriority w:val="9"/>
    <w:qFormat/>
    <w:rPr>
      <w:rFonts w:ascii="仿宋_GB2312" w:eastAsia="仿宋_GB2312" w:hAnsi="Times New Roman"/>
      <w:b/>
      <w:bCs/>
      <w:kern w:val="2"/>
      <w:sz w:val="32"/>
      <w:szCs w:val="32"/>
    </w:rPr>
  </w:style>
  <w:style w:type="character" w:customStyle="1" w:styleId="Char3">
    <w:name w:val="页眉 Char"/>
    <w:basedOn w:val="a0"/>
    <w:link w:val="a7"/>
    <w:uiPriority w:val="99"/>
    <w:qFormat/>
    <w:rPr>
      <w:rFonts w:ascii="Times New Roman" w:eastAsia="仿宋_GB2312" w:hAnsi="Times New Roman"/>
      <w:sz w:val="18"/>
      <w:szCs w:val="18"/>
    </w:rPr>
  </w:style>
  <w:style w:type="character" w:customStyle="1" w:styleId="Char2">
    <w:name w:val="页脚 Char"/>
    <w:basedOn w:val="a0"/>
    <w:link w:val="a6"/>
    <w:uiPriority w:val="99"/>
    <w:qFormat/>
    <w:rPr>
      <w:rFonts w:ascii="Times New Roman" w:eastAsia="仿宋_GB2312" w:hAnsi="Times New Roman"/>
      <w:sz w:val="18"/>
      <w:szCs w:val="18"/>
    </w:rPr>
  </w:style>
  <w:style w:type="character" w:customStyle="1" w:styleId="Char4">
    <w:name w:val="副标题 Char"/>
    <w:basedOn w:val="a0"/>
    <w:link w:val="a8"/>
    <w:uiPriority w:val="11"/>
    <w:qFormat/>
    <w:rPr>
      <w:b/>
      <w:bCs/>
      <w:kern w:val="28"/>
      <w:sz w:val="32"/>
      <w:szCs w:val="32"/>
    </w:rPr>
  </w:style>
  <w:style w:type="character" w:customStyle="1" w:styleId="Char1">
    <w:name w:val="批注框文本 Char"/>
    <w:basedOn w:val="a0"/>
    <w:link w:val="a5"/>
    <w:uiPriority w:val="99"/>
    <w:semiHidden/>
    <w:qFormat/>
    <w:rPr>
      <w:rFonts w:ascii="Times New Roman" w:eastAsia="仿宋_GB2312" w:hAnsi="Times New Roman"/>
      <w:kern w:val="2"/>
      <w:sz w:val="18"/>
      <w:szCs w:val="18"/>
    </w:rPr>
  </w:style>
  <w:style w:type="character" w:customStyle="1" w:styleId="Char0">
    <w:name w:val="批注文字 Char"/>
    <w:basedOn w:val="a0"/>
    <w:link w:val="a4"/>
    <w:uiPriority w:val="99"/>
    <w:semiHidden/>
    <w:qFormat/>
    <w:rPr>
      <w:rFonts w:ascii="Times New Roman" w:eastAsia="仿宋_GB2312" w:hAnsi="Times New Roman"/>
      <w:sz w:val="32"/>
    </w:rPr>
  </w:style>
  <w:style w:type="character" w:customStyle="1" w:styleId="Char6">
    <w:name w:val="批注主题 Char"/>
    <w:basedOn w:val="Char0"/>
    <w:link w:val="aa"/>
    <w:uiPriority w:val="99"/>
    <w:semiHidden/>
    <w:qFormat/>
    <w:rPr>
      <w:rFonts w:ascii="Times New Roman" w:eastAsia="仿宋_GB2312" w:hAnsi="Times New Roman"/>
      <w:b/>
      <w:bCs/>
      <w:sz w:val="32"/>
    </w:rPr>
  </w:style>
  <w:style w:type="paragraph" w:styleId="ae">
    <w:name w:val="List Paragraph"/>
    <w:basedOn w:val="a"/>
    <w:uiPriority w:val="34"/>
    <w:qFormat/>
    <w:pPr>
      <w:ind w:firstLine="420"/>
    </w:pPr>
  </w:style>
  <w:style w:type="character" w:customStyle="1" w:styleId="4Char">
    <w:name w:val="标题 4 Char"/>
    <w:basedOn w:val="a0"/>
    <w:link w:val="4"/>
    <w:uiPriority w:val="9"/>
    <w:qFormat/>
    <w:rPr>
      <w:rFonts w:asciiTheme="majorHAnsi" w:eastAsiaTheme="majorEastAsia" w:hAnsiTheme="majorHAnsi" w:cstheme="majorBidi"/>
      <w:b/>
      <w:bCs/>
      <w:sz w:val="28"/>
      <w:szCs w:val="28"/>
    </w:rPr>
  </w:style>
  <w:style w:type="paragraph" w:customStyle="1" w:styleId="af">
    <w:name w:val="规划正文"/>
    <w:basedOn w:val="a"/>
    <w:qFormat/>
    <w:pPr>
      <w:ind w:firstLine="640"/>
    </w:pPr>
    <w:rPr>
      <w:rFonts w:ascii="仿宋_GB2312" w:hAnsi="仿宋_GB2312"/>
      <w:szCs w:val="32"/>
    </w:rPr>
  </w:style>
  <w:style w:type="character" w:customStyle="1" w:styleId="Char">
    <w:name w:val="题注 Char"/>
    <w:link w:val="a3"/>
    <w:qFormat/>
    <w:rPr>
      <w:rFonts w:asciiTheme="majorHAnsi" w:eastAsia="黑体" w:hAnsiTheme="majorHAnsi" w:cstheme="majorBidi"/>
      <w:sz w:val="20"/>
      <w:szCs w:val="20"/>
    </w:rPr>
  </w:style>
  <w:style w:type="paragraph" w:customStyle="1" w:styleId="af0">
    <w:name w:val="段落正文"/>
    <w:basedOn w:val="a"/>
    <w:qFormat/>
    <w:pPr>
      <w:widowControl/>
      <w:ind w:firstLineChars="0" w:firstLine="720"/>
    </w:pPr>
    <w:rPr>
      <w:rFonts w:ascii="仿宋_GB2312" w:hAnsi="仿宋_GB2312" w:cs="Times New Roman"/>
      <w:kern w:val="0"/>
      <w:szCs w:val="32"/>
    </w:rPr>
  </w:style>
  <w:style w:type="character" w:customStyle="1" w:styleId="5Char">
    <w:name w:val="标题 5 Char"/>
    <w:basedOn w:val="a0"/>
    <w:link w:val="5"/>
    <w:uiPriority w:val="9"/>
    <w:qFormat/>
    <w:rPr>
      <w:rFonts w:ascii="仿宋_GB2312" w:eastAsia="仿宋_GB2312" w:hAnsi="等线" w:cs="Times New Roman"/>
      <w:b/>
      <w:bCs/>
      <w:sz w:val="28"/>
      <w:szCs w:val="28"/>
    </w:rPr>
  </w:style>
  <w:style w:type="character" w:customStyle="1" w:styleId="6Char">
    <w:name w:val="标题 6 Char"/>
    <w:basedOn w:val="a0"/>
    <w:link w:val="6"/>
    <w:uiPriority w:val="9"/>
    <w:qFormat/>
    <w:rPr>
      <w:rFonts w:asciiTheme="majorHAnsi" w:eastAsiaTheme="majorEastAsia" w:hAnsiTheme="majorHAnsi" w:cstheme="majorBidi"/>
      <w:b/>
      <w:bCs/>
      <w:sz w:val="24"/>
      <w:szCs w:val="24"/>
    </w:rPr>
  </w:style>
  <w:style w:type="character" w:customStyle="1" w:styleId="7Char">
    <w:name w:val="标题 7 Char"/>
    <w:basedOn w:val="a0"/>
    <w:link w:val="7"/>
    <w:uiPriority w:val="9"/>
    <w:qFormat/>
    <w:rPr>
      <w:rFonts w:ascii="仿宋_GB2312" w:eastAsia="仿宋_GB2312" w:hAnsi="等线" w:cs="Times New Roman"/>
      <w:b/>
      <w:bCs/>
      <w:sz w:val="24"/>
      <w:szCs w:val="24"/>
    </w:rPr>
  </w:style>
  <w:style w:type="character" w:customStyle="1" w:styleId="8Char">
    <w:name w:val="标题 8 Char"/>
    <w:basedOn w:val="a0"/>
    <w:link w:val="8"/>
    <w:uiPriority w:val="9"/>
    <w:qFormat/>
    <w:rPr>
      <w:rFonts w:asciiTheme="majorHAnsi" w:eastAsiaTheme="majorEastAsia" w:hAnsiTheme="majorHAnsi" w:cstheme="majorBidi"/>
      <w:sz w:val="24"/>
      <w:szCs w:val="24"/>
    </w:rPr>
  </w:style>
  <w:style w:type="character" w:customStyle="1" w:styleId="9Char">
    <w:name w:val="标题 9 Char"/>
    <w:basedOn w:val="a0"/>
    <w:link w:val="9"/>
    <w:uiPriority w:val="9"/>
    <w:qFormat/>
    <w:rPr>
      <w:rFonts w:asciiTheme="majorHAnsi" w:eastAsiaTheme="majorEastAsia" w:hAnsiTheme="majorHAnsi" w:cstheme="majorBidi"/>
      <w:sz w:val="32"/>
      <w:szCs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1.xml"/><Relationship Id="rId18" Type="http://schemas.openxmlformats.org/officeDocument/2006/relationships/image" Target="media/image1.emf"/><Relationship Id="rId3" Type="http://schemas.openxmlformats.org/officeDocument/2006/relationships/customXml" Target="../customXml/item3.xml"/><Relationship Id="rId21" Type="http://schemas.openxmlformats.org/officeDocument/2006/relationships/image" Target="media/image4.png"/><Relationship Id="rId7" Type="http://schemas.openxmlformats.org/officeDocument/2006/relationships/settings" Target="settings.xml"/><Relationship Id="rId12" Type="http://schemas.openxmlformats.org/officeDocument/2006/relationships/header" Target="header2.xml"/><Relationship Id="rId17" Type="http://schemas.openxmlformats.org/officeDocument/2006/relationships/footer" Target="footer4.xml"/><Relationship Id="rId25" Type="http://schemas.microsoft.com/office/2011/relationships/people" Target="people.xml"/><Relationship Id="rId2" Type="http://schemas.openxmlformats.org/officeDocument/2006/relationships/customXml" Target="../customXml/item2.xml"/><Relationship Id="rId16" Type="http://schemas.openxmlformats.org/officeDocument/2006/relationships/footer" Target="footer3.xml"/><Relationship Id="rId20" Type="http://schemas.openxmlformats.org/officeDocument/2006/relationships/image" Target="media/image3.emf"/><Relationship Id="rId1" Type="http://schemas.openxmlformats.org/officeDocument/2006/relationships/customXml" Target="../customXml/item1.xml"/><Relationship Id="rId6" Type="http://schemas.microsoft.com/office/2007/relationships/stylesWithEffects" Target="stylesWithEffects.xml"/><Relationship Id="rId11" Type="http://schemas.openxmlformats.org/officeDocument/2006/relationships/header" Target="header1.xml"/><Relationship Id="rId24" Type="http://schemas.openxmlformats.org/officeDocument/2006/relationships/theme" Target="theme/theme1.xml"/><Relationship Id="rId5" Type="http://schemas.openxmlformats.org/officeDocument/2006/relationships/styles" Target="styles.xml"/><Relationship Id="rId15" Type="http://schemas.openxmlformats.org/officeDocument/2006/relationships/header" Target="header3.xml"/><Relationship Id="rId23" Type="http://schemas.openxmlformats.org/officeDocument/2006/relationships/fontTable" Target="fontTable.xml"/><Relationship Id="rId10" Type="http://schemas.openxmlformats.org/officeDocument/2006/relationships/endnotes" Target="endnotes.xml"/><Relationship Id="rId19" Type="http://schemas.openxmlformats.org/officeDocument/2006/relationships/image" Target="media/image2.emf"/><Relationship Id="rId4" Type="http://schemas.openxmlformats.org/officeDocument/2006/relationships/numbering" Target="numbering.xml"/><Relationship Id="rId9" Type="http://schemas.openxmlformats.org/officeDocument/2006/relationships/footnotes" Target="footnotes.xml"/><Relationship Id="rId14" Type="http://schemas.openxmlformats.org/officeDocument/2006/relationships/footer" Target="footer2.xml"/><Relationship Id="rId22" Type="http://schemas.openxmlformats.org/officeDocument/2006/relationships/image" Target="media/image5.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op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45033AB2-8F49-44F0-B918-C82E6EA7C65C}">
  <ds:schemaRefs>
    <ds:schemaRef ds:uri="http://schemas.openxmlformats.org/officeDocument/2006/bibliography"/>
  </ds:schemaRefs>
</ds:datastoreItem>
</file>

<file path=customXml/itemProps3.xml><?xml version="1.0" encoding="utf-8"?>
<ds:datastoreItem xmlns:ds="http://schemas.openxmlformats.org/officeDocument/2006/customXml" ds:itemID="{F6E83B03-D8AF-4D7C-9FAE-345789FA406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93</Pages>
  <Words>7494</Words>
  <Characters>42719</Characters>
  <Application>Microsoft Office Word</Application>
  <DocSecurity>0</DocSecurity>
  <Lines>355</Lines>
  <Paragraphs>100</Paragraphs>
  <ScaleCrop>false</ScaleCrop>
  <Company>Microsoft</Company>
  <LinksUpToDate>false</LinksUpToDate>
  <CharactersWithSpaces>50113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KK</dc:creator>
  <cp:lastModifiedBy>User</cp:lastModifiedBy>
  <cp:revision>2</cp:revision>
  <cp:lastPrinted>2020-12-25T07:08:00Z</cp:lastPrinted>
  <dcterms:created xsi:type="dcterms:W3CDTF">2021-04-14T07:45:00Z</dcterms:created>
  <dcterms:modified xsi:type="dcterms:W3CDTF">2021-04-14T07:45:00Z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2052-11.8.2.8621</vt:lpwstr>
  </property>
</Properties>
</file>