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rPr>
          <w:rFonts w:ascii="黑体" w:eastAsia="黑体"/>
          <w:szCs w:val="32"/>
        </w:rPr>
      </w:pPr>
      <w:bookmarkStart w:id="0" w:name="_GoBack"/>
      <w:bookmarkEnd w:id="0"/>
      <w:r>
        <w:rPr>
          <w:rFonts w:hint="eastAsia" w:ascii="黑体" w:eastAsia="黑体"/>
          <w:szCs w:val="32"/>
        </w:rPr>
        <w:t>附件</w:t>
      </w:r>
    </w:p>
    <w:p>
      <w:pPr>
        <w:pStyle w:val="2"/>
      </w:pPr>
    </w:p>
    <w:p>
      <w:pPr>
        <w:widowControl/>
        <w:shd w:val="clear" w:color="auto" w:fill="FFFFFF"/>
        <w:snapToGrid w:val="0"/>
        <w:spacing w:line="580" w:lineRule="exact"/>
        <w:jc w:val="center"/>
        <w:rPr>
          <w:rFonts w:ascii="方正小标宋简体" w:hAnsi="华文中宋" w:eastAsia="方正小标宋简体" w:cs="华文中宋"/>
          <w:spacing w:val="-12"/>
          <w:kern w:val="0"/>
          <w:sz w:val="44"/>
          <w:szCs w:val="44"/>
        </w:rPr>
      </w:pPr>
      <w:r>
        <w:rPr>
          <w:rFonts w:hint="eastAsia" w:ascii="方正小标宋简体" w:hAnsi="华文中宋" w:eastAsia="方正小标宋简体" w:cs="华文中宋"/>
          <w:spacing w:val="-12"/>
          <w:kern w:val="0"/>
          <w:sz w:val="44"/>
          <w:szCs w:val="44"/>
        </w:rPr>
        <w:t>2023年市政府立法计划和行政执法监督检查计划</w:t>
      </w:r>
    </w:p>
    <w:p>
      <w:pPr>
        <w:widowControl/>
        <w:shd w:val="clear" w:color="auto" w:fill="FFFFFF"/>
        <w:snapToGrid w:val="0"/>
        <w:spacing w:line="590" w:lineRule="exact"/>
        <w:jc w:val="center"/>
        <w:rPr>
          <w:rFonts w:hint="eastAsia" w:ascii="黑体" w:hAnsi="宋体" w:eastAsia="黑体" w:cs="宋体"/>
          <w:kern w:val="0"/>
          <w:sz w:val="32"/>
          <w:szCs w:val="32"/>
        </w:rPr>
      </w:pPr>
    </w:p>
    <w:p>
      <w:pPr>
        <w:widowControl/>
        <w:shd w:val="clear" w:color="auto" w:fill="FFFFFF"/>
        <w:snapToGrid w:val="0"/>
        <w:spacing w:line="590" w:lineRule="exact"/>
        <w:jc w:val="center"/>
        <w:rPr>
          <w:rFonts w:ascii="楷体_GB2312" w:eastAsia="楷体_GB2312" w:cs="宋体"/>
          <w:kern w:val="0"/>
          <w:sz w:val="32"/>
          <w:szCs w:val="32"/>
        </w:rPr>
      </w:pPr>
      <w:r>
        <w:rPr>
          <w:rFonts w:hint="eastAsia" w:ascii="黑体" w:hAnsi="宋体" w:eastAsia="黑体" w:cs="宋体"/>
          <w:kern w:val="0"/>
          <w:sz w:val="32"/>
          <w:szCs w:val="32"/>
        </w:rPr>
        <w:t>一、2023年市政府立法计划法规项目</w:t>
      </w:r>
    </w:p>
    <w:tbl>
      <w:tblPr>
        <w:tblStyle w:val="14"/>
        <w:tblW w:w="9200"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725"/>
        <w:gridCol w:w="725"/>
        <w:gridCol w:w="4662"/>
        <w:gridCol w:w="1774"/>
        <w:gridCol w:w="131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680" w:hRule="exact"/>
          <w:jc w:val="center"/>
        </w:trPr>
        <w:tc>
          <w:tcPr>
            <w:tcW w:w="725" w:type="dxa"/>
            <w:tcMar>
              <w:left w:w="108" w:type="dxa"/>
              <w:right w:w="108" w:type="dxa"/>
            </w:tcMar>
            <w:vAlign w:val="center"/>
          </w:tcPr>
          <w:p>
            <w:pPr>
              <w:widowControl/>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分类</w:t>
            </w:r>
          </w:p>
        </w:tc>
        <w:tc>
          <w:tcPr>
            <w:tcW w:w="725" w:type="dxa"/>
            <w:tcMar>
              <w:left w:w="108" w:type="dxa"/>
              <w:right w:w="108" w:type="dxa"/>
            </w:tcMar>
            <w:vAlign w:val="center"/>
          </w:tcPr>
          <w:p>
            <w:pPr>
              <w:widowControl/>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序号</w:t>
            </w:r>
          </w:p>
        </w:tc>
        <w:tc>
          <w:tcPr>
            <w:tcW w:w="4662" w:type="dxa"/>
            <w:tcMar>
              <w:left w:w="108" w:type="dxa"/>
              <w:right w:w="108" w:type="dxa"/>
            </w:tcMar>
            <w:vAlign w:val="center"/>
          </w:tcPr>
          <w:p>
            <w:pPr>
              <w:widowControl/>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法规名称</w:t>
            </w:r>
          </w:p>
        </w:tc>
        <w:tc>
          <w:tcPr>
            <w:tcW w:w="1774" w:type="dxa"/>
            <w:tcMar>
              <w:left w:w="108" w:type="dxa"/>
              <w:right w:w="108" w:type="dxa"/>
            </w:tcMar>
            <w:vAlign w:val="center"/>
          </w:tcPr>
          <w:p>
            <w:pPr>
              <w:widowControl/>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起草责任单位</w:t>
            </w:r>
          </w:p>
        </w:tc>
        <w:tc>
          <w:tcPr>
            <w:tcW w:w="1314" w:type="dxa"/>
            <w:tcMar>
              <w:left w:w="108" w:type="dxa"/>
              <w:right w:w="108" w:type="dxa"/>
            </w:tcMar>
            <w:vAlign w:val="center"/>
          </w:tcPr>
          <w:p>
            <w:pPr>
              <w:widowControl/>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草案报送时间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94" w:hRule="exact"/>
          <w:jc w:val="center"/>
        </w:trPr>
        <w:tc>
          <w:tcPr>
            <w:tcW w:w="725" w:type="dxa"/>
            <w:vMerge w:val="restart"/>
            <w:tcMar>
              <w:left w:w="108" w:type="dxa"/>
              <w:right w:w="108" w:type="dxa"/>
            </w:tcMar>
            <w:vAlign w:val="center"/>
          </w:tcPr>
          <w:p>
            <w:pPr>
              <w:widowControl/>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正</w:t>
            </w:r>
          </w:p>
          <w:p>
            <w:pPr>
              <w:widowControl/>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式</w:t>
            </w:r>
          </w:p>
          <w:p>
            <w:pPr>
              <w:widowControl/>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项</w:t>
            </w:r>
          </w:p>
          <w:p>
            <w:pPr>
              <w:widowControl/>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目</w:t>
            </w: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1</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厦门经济特区机动车排气污染防治条例（修改）</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市生态环境局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已报市人大常委会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94" w:hRule="exact"/>
          <w:jc w:val="center"/>
        </w:trPr>
        <w:tc>
          <w:tcPr>
            <w:tcW w:w="725" w:type="dxa"/>
            <w:vMerge w:val="continue"/>
            <w:tcMar>
              <w:left w:w="108" w:type="dxa"/>
              <w:right w:w="108" w:type="dxa"/>
            </w:tcMar>
            <w:vAlign w:val="center"/>
          </w:tcPr>
          <w:p>
            <w:pPr>
              <w:widowControl/>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2</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《厦门经济特区失业保险条例》（调整适用）</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市人社局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已报市人大常委会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94" w:hRule="exact"/>
          <w:jc w:val="center"/>
        </w:trPr>
        <w:tc>
          <w:tcPr>
            <w:tcW w:w="725" w:type="dxa"/>
            <w:vMerge w:val="continue"/>
            <w:tcMar>
              <w:left w:w="108" w:type="dxa"/>
              <w:right w:w="108" w:type="dxa"/>
            </w:tcMar>
            <w:vAlign w:val="center"/>
          </w:tcPr>
          <w:p>
            <w:pPr>
              <w:widowControl/>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3</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厦门经济特区反不正当竞争条例（废止）</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市市场监管局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已报送</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94" w:hRule="exact"/>
          <w:jc w:val="center"/>
        </w:trPr>
        <w:tc>
          <w:tcPr>
            <w:tcW w:w="725" w:type="dxa"/>
            <w:vMerge w:val="continue"/>
            <w:tcMar>
              <w:left w:w="108" w:type="dxa"/>
              <w:right w:w="108" w:type="dxa"/>
            </w:tcMar>
            <w:vAlign w:val="center"/>
          </w:tcPr>
          <w:p>
            <w:pPr>
              <w:widowControl/>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4</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厦门经济特区高新技术产业园区条例（修改）</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火炬高新区管委会</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已报送</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649" w:hRule="exact"/>
          <w:jc w:val="center"/>
        </w:trPr>
        <w:tc>
          <w:tcPr>
            <w:tcW w:w="725" w:type="dxa"/>
            <w:vMerge w:val="continue"/>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5</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厦门经济特区禁毒条例</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市公安局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已报送</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94" w:hRule="exact"/>
          <w:jc w:val="center"/>
        </w:trPr>
        <w:tc>
          <w:tcPr>
            <w:tcW w:w="725" w:type="dxa"/>
            <w:vMerge w:val="continue"/>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6</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厦门经济特区国土空间信息管理若干规定</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市资源规划局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已报送</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94" w:hRule="exact"/>
          <w:jc w:val="center"/>
        </w:trPr>
        <w:tc>
          <w:tcPr>
            <w:tcW w:w="725" w:type="dxa"/>
            <w:vMerge w:val="continue"/>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7</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厦门经济特区海洋经济促进条例</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市海洋局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4月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94" w:hRule="exact"/>
          <w:jc w:val="center"/>
        </w:trPr>
        <w:tc>
          <w:tcPr>
            <w:tcW w:w="725" w:type="dxa"/>
            <w:vMerge w:val="continue"/>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8</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厦门经济特区鼓励台湾青年来厦创业就业若干规定</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市委台港澳办</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4月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664" w:hRule="exact"/>
          <w:jc w:val="center"/>
        </w:trPr>
        <w:tc>
          <w:tcPr>
            <w:tcW w:w="725" w:type="dxa"/>
            <w:vMerge w:val="continue"/>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9</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厦门经济特区园林绿化条例（修改）</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市市政园林局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4月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694" w:hRule="exact"/>
          <w:jc w:val="center"/>
        </w:trPr>
        <w:tc>
          <w:tcPr>
            <w:tcW w:w="725" w:type="dxa"/>
            <w:vMerge w:val="continue"/>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10</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厦门经济特区老年教育若干规定</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市教育局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6月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081" w:hRule="exact"/>
          <w:jc w:val="center"/>
        </w:trPr>
        <w:tc>
          <w:tcPr>
            <w:tcW w:w="725" w:type="dxa"/>
            <w:vMerge w:val="continue"/>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11</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《厦门经济特区职工基本养老保险条例》和《厦门经济特区鼓励留学人员来厦创业工作规定》（继续调整适用）</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市人社局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8月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105" w:hRule="exact"/>
          <w:jc w:val="center"/>
        </w:trPr>
        <w:tc>
          <w:tcPr>
            <w:tcW w:w="725" w:type="dxa"/>
            <w:vMerge w:val="continue"/>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12</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厦门经济特区电动自行车管理办法</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市公安局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2022年立法计划滚动项目</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81" w:hRule="exact"/>
          <w:jc w:val="center"/>
        </w:trPr>
        <w:tc>
          <w:tcPr>
            <w:tcW w:w="725" w:type="dxa"/>
            <w:vMerge w:val="restart"/>
            <w:tcMar>
              <w:left w:w="108" w:type="dxa"/>
              <w:right w:w="108" w:type="dxa"/>
            </w:tcMar>
            <w:vAlign w:val="center"/>
          </w:tcPr>
          <w:p>
            <w:pPr>
              <w:widowControl/>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备</w:t>
            </w:r>
          </w:p>
          <w:p>
            <w:pPr>
              <w:widowControl/>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选</w:t>
            </w:r>
          </w:p>
          <w:p>
            <w:pPr>
              <w:widowControl/>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项</w:t>
            </w:r>
          </w:p>
          <w:p>
            <w:pPr>
              <w:widowControl/>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目</w:t>
            </w: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1</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厦门经济特区城市更新条例</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市资源规划局</w:t>
            </w:r>
          </w:p>
        </w:tc>
        <w:tc>
          <w:tcPr>
            <w:tcW w:w="1314" w:type="dxa"/>
            <w:tcMar>
              <w:left w:w="108" w:type="dxa"/>
              <w:right w:w="108" w:type="dxa"/>
            </w:tcMar>
            <w:vAlign w:val="center"/>
          </w:tcPr>
          <w:p>
            <w:pPr>
              <w:widowControl/>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84" w:hRule="exact"/>
          <w:jc w:val="center"/>
        </w:trPr>
        <w:tc>
          <w:tcPr>
            <w:tcW w:w="725" w:type="dxa"/>
            <w:vMerge w:val="continue"/>
            <w:tcMar>
              <w:left w:w="108" w:type="dxa"/>
              <w:right w:w="108" w:type="dxa"/>
            </w:tcMar>
            <w:vAlign w:val="center"/>
          </w:tcPr>
          <w:p>
            <w:pPr>
              <w:widowControl/>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2</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厦门经济特区船舶污染防治条例</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厦门海事局</w:t>
            </w:r>
          </w:p>
        </w:tc>
        <w:tc>
          <w:tcPr>
            <w:tcW w:w="1314" w:type="dxa"/>
            <w:tcMar>
              <w:left w:w="108" w:type="dxa"/>
              <w:right w:w="108" w:type="dxa"/>
            </w:tcMar>
            <w:vAlign w:val="center"/>
          </w:tcPr>
          <w:p>
            <w:pPr>
              <w:widowControl/>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94" w:hRule="exact"/>
          <w:jc w:val="center"/>
        </w:trPr>
        <w:tc>
          <w:tcPr>
            <w:tcW w:w="725" w:type="dxa"/>
            <w:vMerge w:val="continue"/>
            <w:tcMar>
              <w:left w:w="108" w:type="dxa"/>
              <w:right w:w="108" w:type="dxa"/>
            </w:tcMar>
            <w:vAlign w:val="center"/>
          </w:tcPr>
          <w:p>
            <w:pPr>
              <w:widowControl/>
              <w:spacing w:line="420" w:lineRule="auto"/>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3</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厦门市消防条例</w:t>
            </w:r>
          </w:p>
        </w:tc>
        <w:tc>
          <w:tcPr>
            <w:tcW w:w="1774" w:type="dxa"/>
            <w:tcMar>
              <w:left w:w="108" w:type="dxa"/>
              <w:right w:w="108" w:type="dxa"/>
            </w:tcMar>
            <w:vAlign w:val="center"/>
          </w:tcPr>
          <w:p>
            <w:pPr>
              <w:jc w:val="center"/>
              <w:rPr>
                <w:rFonts w:ascii="仿宋_GB2312" w:hAnsi="仿宋_GB2312" w:cs="仿宋_GB2312"/>
                <w:color w:val="000000"/>
                <w:spacing w:val="-8"/>
                <w:kern w:val="0"/>
                <w:sz w:val="24"/>
                <w:szCs w:val="24"/>
              </w:rPr>
            </w:pPr>
            <w:r>
              <w:rPr>
                <w:rFonts w:hint="eastAsia" w:ascii="仿宋_GB2312" w:hAnsi="仿宋_GB2312" w:cs="仿宋_GB2312"/>
                <w:color w:val="000000"/>
                <w:spacing w:val="-8"/>
                <w:kern w:val="0"/>
                <w:sz w:val="24"/>
                <w:szCs w:val="24"/>
              </w:rPr>
              <w:t>市消防救援支队</w:t>
            </w:r>
          </w:p>
        </w:tc>
        <w:tc>
          <w:tcPr>
            <w:tcW w:w="1314" w:type="dxa"/>
            <w:tcMar>
              <w:left w:w="108" w:type="dxa"/>
              <w:right w:w="108" w:type="dxa"/>
            </w:tcMar>
            <w:vAlign w:val="center"/>
          </w:tcPr>
          <w:p>
            <w:pPr>
              <w:widowControl/>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826" w:hRule="exact"/>
          <w:jc w:val="center"/>
        </w:trPr>
        <w:tc>
          <w:tcPr>
            <w:tcW w:w="725" w:type="dxa"/>
            <w:vMerge w:val="continue"/>
            <w:tcMar>
              <w:left w:w="108" w:type="dxa"/>
              <w:right w:w="108" w:type="dxa"/>
            </w:tcMar>
            <w:vAlign w:val="center"/>
          </w:tcPr>
          <w:p>
            <w:pPr>
              <w:widowControl/>
              <w:spacing w:line="420" w:lineRule="auto"/>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4</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厦门经济特区国土空间规划条例</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市资源规划局</w:t>
            </w:r>
          </w:p>
        </w:tc>
        <w:tc>
          <w:tcPr>
            <w:tcW w:w="1314" w:type="dxa"/>
            <w:tcMar>
              <w:left w:w="108" w:type="dxa"/>
              <w:right w:w="108" w:type="dxa"/>
            </w:tcMar>
            <w:vAlign w:val="center"/>
          </w:tcPr>
          <w:p>
            <w:pPr>
              <w:widowControl/>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94" w:hRule="exact"/>
          <w:jc w:val="center"/>
        </w:trPr>
        <w:tc>
          <w:tcPr>
            <w:tcW w:w="725" w:type="dxa"/>
            <w:vMerge w:val="continue"/>
            <w:tcMar>
              <w:left w:w="108" w:type="dxa"/>
              <w:right w:w="108" w:type="dxa"/>
            </w:tcMar>
            <w:vAlign w:val="center"/>
          </w:tcPr>
          <w:p>
            <w:pPr>
              <w:widowControl/>
              <w:spacing w:line="420" w:lineRule="auto"/>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5</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厦门经济特区物业业主共有资金管理办法</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市建设局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45" w:hRule="exact"/>
          <w:jc w:val="center"/>
        </w:trPr>
        <w:tc>
          <w:tcPr>
            <w:tcW w:w="725" w:type="dxa"/>
            <w:vMerge w:val="continue"/>
            <w:tcMar>
              <w:left w:w="108" w:type="dxa"/>
              <w:right w:w="108" w:type="dxa"/>
            </w:tcMar>
            <w:vAlign w:val="center"/>
          </w:tcPr>
          <w:p>
            <w:pPr>
              <w:widowControl/>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6</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厦门市海上交通安全条例（修改）</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厦门海事局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85" w:hRule="exact"/>
          <w:jc w:val="center"/>
        </w:trPr>
        <w:tc>
          <w:tcPr>
            <w:tcW w:w="725" w:type="dxa"/>
            <w:vMerge w:val="continue"/>
            <w:tcMar>
              <w:left w:w="108" w:type="dxa"/>
              <w:right w:w="108" w:type="dxa"/>
            </w:tcMar>
            <w:vAlign w:val="center"/>
          </w:tcPr>
          <w:p>
            <w:pPr>
              <w:widowControl/>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7</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厦门经济特区大型桥梁隧道管理条例</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市交通局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812" w:hRule="exact"/>
          <w:jc w:val="center"/>
        </w:trPr>
        <w:tc>
          <w:tcPr>
            <w:tcW w:w="725" w:type="dxa"/>
            <w:vMerge w:val="continue"/>
            <w:tcMar>
              <w:left w:w="108" w:type="dxa"/>
              <w:right w:w="108" w:type="dxa"/>
            </w:tcMar>
            <w:vAlign w:val="center"/>
          </w:tcPr>
          <w:p>
            <w:pPr>
              <w:widowControl/>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8</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厦门经济特区公共汽电车客运管理若干规定</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市交通局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690" w:hRule="exact"/>
          <w:jc w:val="center"/>
        </w:trPr>
        <w:tc>
          <w:tcPr>
            <w:tcW w:w="725" w:type="dxa"/>
            <w:vMerge w:val="continue"/>
            <w:tcMar>
              <w:left w:w="108" w:type="dxa"/>
              <w:right w:w="108" w:type="dxa"/>
            </w:tcMar>
            <w:vAlign w:val="center"/>
          </w:tcPr>
          <w:p>
            <w:pPr>
              <w:widowControl/>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9</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厦门经济特区企业国有资产监督管理条例</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市国资委</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839" w:hRule="exact"/>
          <w:jc w:val="center"/>
        </w:trPr>
        <w:tc>
          <w:tcPr>
            <w:tcW w:w="725" w:type="dxa"/>
            <w:vMerge w:val="continue"/>
            <w:tcMar>
              <w:left w:w="108" w:type="dxa"/>
              <w:right w:w="108" w:type="dxa"/>
            </w:tcMar>
            <w:vAlign w:val="center"/>
          </w:tcPr>
          <w:p>
            <w:pPr>
              <w:widowControl/>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10</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厦门经济特区房屋租赁管理条例</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市住房局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52" w:hRule="exact"/>
          <w:jc w:val="center"/>
        </w:trPr>
        <w:tc>
          <w:tcPr>
            <w:tcW w:w="725" w:type="dxa"/>
            <w:vMerge w:val="continue"/>
            <w:tcMar>
              <w:left w:w="108" w:type="dxa"/>
              <w:right w:w="108" w:type="dxa"/>
            </w:tcMar>
            <w:vAlign w:val="center"/>
          </w:tcPr>
          <w:p>
            <w:pPr>
              <w:widowControl/>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11</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厦门经济特区安全生产若干规定</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市应急局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942" w:hRule="exact"/>
          <w:jc w:val="center"/>
        </w:trPr>
        <w:tc>
          <w:tcPr>
            <w:tcW w:w="725" w:type="dxa"/>
            <w:vMerge w:val="continue"/>
            <w:tcMar>
              <w:left w:w="108" w:type="dxa"/>
              <w:right w:w="108" w:type="dxa"/>
            </w:tcMar>
            <w:vAlign w:val="center"/>
          </w:tcPr>
          <w:p>
            <w:pPr>
              <w:widowControl/>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12</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厦门经济特区建设工程施工招标投标管理办法（修改）</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市建设局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12" w:hRule="exact"/>
          <w:jc w:val="center"/>
        </w:trPr>
        <w:tc>
          <w:tcPr>
            <w:tcW w:w="725" w:type="dxa"/>
            <w:vMerge w:val="continue"/>
            <w:tcMar>
              <w:left w:w="108" w:type="dxa"/>
              <w:right w:w="108" w:type="dxa"/>
            </w:tcMar>
            <w:vAlign w:val="center"/>
          </w:tcPr>
          <w:p>
            <w:pPr>
              <w:widowControl/>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13</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厦门经济特区土地管理若干规定（修改）</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市资源规划局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822" w:hRule="exact"/>
          <w:jc w:val="center"/>
        </w:trPr>
        <w:tc>
          <w:tcPr>
            <w:tcW w:w="725" w:type="dxa"/>
            <w:vMerge w:val="continue"/>
            <w:tcMar>
              <w:left w:w="108" w:type="dxa"/>
              <w:right w:w="108" w:type="dxa"/>
            </w:tcMar>
            <w:vAlign w:val="center"/>
          </w:tcPr>
          <w:p>
            <w:pPr>
              <w:widowControl/>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14</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厦门经济特区历史文化名城保护条例</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市资源规划局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822" w:hRule="exact"/>
          <w:jc w:val="center"/>
        </w:trPr>
        <w:tc>
          <w:tcPr>
            <w:tcW w:w="725" w:type="dxa"/>
            <w:vMerge w:val="continue"/>
            <w:tcMar>
              <w:left w:w="108" w:type="dxa"/>
              <w:right w:w="108" w:type="dxa"/>
            </w:tcMar>
            <w:vAlign w:val="center"/>
          </w:tcPr>
          <w:p>
            <w:pPr>
              <w:widowControl/>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15</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厦门经济特区公共场所禁止吸烟条例</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市卫健委</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859" w:hRule="exact"/>
          <w:jc w:val="center"/>
        </w:trPr>
        <w:tc>
          <w:tcPr>
            <w:tcW w:w="725" w:type="dxa"/>
            <w:vMerge w:val="continue"/>
            <w:tcMar>
              <w:left w:w="108" w:type="dxa"/>
              <w:right w:w="108" w:type="dxa"/>
            </w:tcMar>
            <w:vAlign w:val="center"/>
          </w:tcPr>
          <w:p>
            <w:pPr>
              <w:widowControl/>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16</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厦门市体育行政处罚授权执法规定</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市体育局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94" w:hRule="exact"/>
          <w:jc w:val="center"/>
        </w:trPr>
        <w:tc>
          <w:tcPr>
            <w:tcW w:w="725" w:type="dxa"/>
            <w:vMerge w:val="restart"/>
            <w:tcMar>
              <w:left w:w="108" w:type="dxa"/>
              <w:right w:w="108" w:type="dxa"/>
            </w:tcMar>
            <w:vAlign w:val="center"/>
          </w:tcPr>
          <w:p>
            <w:pPr>
              <w:widowControl/>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调</w:t>
            </w:r>
          </w:p>
          <w:p>
            <w:pPr>
              <w:widowControl/>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研</w:t>
            </w:r>
          </w:p>
          <w:p>
            <w:pPr>
              <w:widowControl/>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项</w:t>
            </w:r>
          </w:p>
          <w:p>
            <w:pPr>
              <w:widowControl/>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目</w:t>
            </w: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1</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厦门经济特区细胞和基因产业促进条例</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市科技局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55" w:hRule="exact"/>
          <w:jc w:val="center"/>
        </w:trPr>
        <w:tc>
          <w:tcPr>
            <w:tcW w:w="725" w:type="dxa"/>
            <w:vMerge w:val="continue"/>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2</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厦门经济特区科学技术进步条例（修改）</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市科技局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697" w:hRule="exact"/>
          <w:jc w:val="center"/>
        </w:trPr>
        <w:tc>
          <w:tcPr>
            <w:tcW w:w="725" w:type="dxa"/>
            <w:vMerge w:val="continue"/>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3</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厦门经济特区生态环境分区管控条例</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市生态环境局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877" w:hRule="exact"/>
          <w:jc w:val="center"/>
        </w:trPr>
        <w:tc>
          <w:tcPr>
            <w:tcW w:w="725" w:type="dxa"/>
            <w:vMerge w:val="continue"/>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4</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厦门经济特区户外广告设施设置管理办法（修改）</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市执法局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684" w:hRule="exact"/>
          <w:jc w:val="center"/>
        </w:trPr>
        <w:tc>
          <w:tcPr>
            <w:tcW w:w="725" w:type="dxa"/>
            <w:vMerge w:val="continue"/>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5</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厦门经济特区社会救助条例</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市民政局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619" w:hRule="exact"/>
          <w:jc w:val="center"/>
        </w:trPr>
        <w:tc>
          <w:tcPr>
            <w:tcW w:w="725" w:type="dxa"/>
            <w:vMerge w:val="continue"/>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6</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厦门经济特区海上搜寻救助条例</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厦门海事局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671" w:hRule="exact"/>
          <w:jc w:val="center"/>
        </w:trPr>
        <w:tc>
          <w:tcPr>
            <w:tcW w:w="725" w:type="dxa"/>
            <w:vMerge w:val="continue"/>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spacing w:val="-8"/>
                <w:kern w:val="0"/>
                <w:sz w:val="24"/>
                <w:szCs w:val="24"/>
              </w:rPr>
            </w:pPr>
            <w:r>
              <w:rPr>
                <w:rFonts w:hint="eastAsia" w:ascii="仿宋_GB2312" w:hAnsi="仿宋_GB2312" w:cs="仿宋_GB2312"/>
                <w:color w:val="000000"/>
                <w:spacing w:val="-8"/>
                <w:kern w:val="0"/>
                <w:sz w:val="24"/>
                <w:szCs w:val="24"/>
              </w:rPr>
              <w:t>7</w:t>
            </w:r>
          </w:p>
        </w:tc>
        <w:tc>
          <w:tcPr>
            <w:tcW w:w="4662" w:type="dxa"/>
            <w:tcMar>
              <w:left w:w="108" w:type="dxa"/>
              <w:right w:w="108" w:type="dxa"/>
            </w:tcMar>
            <w:vAlign w:val="center"/>
          </w:tcPr>
          <w:p>
            <w:pPr>
              <w:rPr>
                <w:rFonts w:ascii="仿宋_GB2312" w:hAnsi="仿宋_GB2312" w:cs="仿宋_GB2312"/>
                <w:color w:val="000000"/>
                <w:spacing w:val="-8"/>
                <w:kern w:val="0"/>
                <w:sz w:val="24"/>
                <w:szCs w:val="24"/>
              </w:rPr>
            </w:pPr>
            <w:r>
              <w:rPr>
                <w:rFonts w:hint="eastAsia" w:ascii="仿宋_GB2312" w:hAnsi="仿宋_GB2312" w:cs="仿宋_GB2312"/>
                <w:color w:val="000000"/>
                <w:spacing w:val="-8"/>
                <w:kern w:val="0"/>
                <w:sz w:val="24"/>
                <w:szCs w:val="24"/>
              </w:rPr>
              <w:t>厦门经济特区新就业形态劳动者权益保障条例</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市总工会</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605" w:hRule="exact"/>
          <w:jc w:val="center"/>
        </w:trPr>
        <w:tc>
          <w:tcPr>
            <w:tcW w:w="725" w:type="dxa"/>
            <w:vMerge w:val="continue"/>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8</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厦门经济特区法律援助条例</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市司法局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632" w:hRule="exact"/>
          <w:jc w:val="center"/>
        </w:trPr>
        <w:tc>
          <w:tcPr>
            <w:tcW w:w="725" w:type="dxa"/>
            <w:vMerge w:val="continue"/>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9</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厦门经济特区节约用水条例</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市水利局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669" w:hRule="exact"/>
          <w:jc w:val="center"/>
        </w:trPr>
        <w:tc>
          <w:tcPr>
            <w:tcW w:w="725" w:type="dxa"/>
            <w:vMerge w:val="continue"/>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10</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厦门经济特区应急救援条例</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市应急局</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901" w:hRule="exact"/>
          <w:jc w:val="center"/>
        </w:trPr>
        <w:tc>
          <w:tcPr>
            <w:tcW w:w="725" w:type="dxa"/>
            <w:vMerge w:val="continue"/>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11</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厦门经济特区促进中国（福建）自由贸易试验区厦门片区建设规定（修改）</w:t>
            </w:r>
          </w:p>
        </w:tc>
        <w:tc>
          <w:tcPr>
            <w:tcW w:w="1774"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自贸试验区厦门片区管委会</w:t>
            </w:r>
          </w:p>
        </w:tc>
        <w:tc>
          <w:tcPr>
            <w:tcW w:w="1314" w:type="dxa"/>
            <w:tcMar>
              <w:left w:w="108" w:type="dxa"/>
              <w:right w:w="108" w:type="dxa"/>
            </w:tcMar>
            <w:vAlign w:val="center"/>
          </w:tcPr>
          <w:p>
            <w:pPr>
              <w:jc w:val="center"/>
              <w:rPr>
                <w:rFonts w:ascii="仿宋_GB2312" w:hAnsi="仿宋_GB2312" w:cs="仿宋_GB2312"/>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161" w:hRule="exact"/>
          <w:jc w:val="center"/>
        </w:trPr>
        <w:tc>
          <w:tcPr>
            <w:tcW w:w="725" w:type="dxa"/>
            <w:vMerge w:val="continue"/>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12</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关于完善绿色低碳循环发展等方面的立法</w:t>
            </w:r>
          </w:p>
        </w:tc>
        <w:tc>
          <w:tcPr>
            <w:tcW w:w="1774" w:type="dxa"/>
            <w:tcMar>
              <w:left w:w="108" w:type="dxa"/>
              <w:right w:w="108" w:type="dxa"/>
            </w:tcMar>
            <w:vAlign w:val="center"/>
          </w:tcPr>
          <w:p>
            <w:pPr>
              <w:jc w:val="center"/>
              <w:rPr>
                <w:rFonts w:ascii="仿宋_GB2312" w:hAnsi="仿宋_GB2312" w:cs="仿宋_GB2312"/>
                <w:color w:val="000000"/>
                <w:spacing w:val="-8"/>
                <w:kern w:val="0"/>
                <w:sz w:val="24"/>
                <w:szCs w:val="24"/>
              </w:rPr>
            </w:pPr>
            <w:r>
              <w:rPr>
                <w:rFonts w:hint="eastAsia" w:ascii="仿宋_GB2312" w:hAnsi="仿宋_GB2312" w:cs="仿宋_GB2312"/>
                <w:color w:val="000000"/>
                <w:spacing w:val="-8"/>
                <w:kern w:val="0"/>
                <w:sz w:val="24"/>
                <w:szCs w:val="24"/>
              </w:rPr>
              <w:t>市发改委、市生态环境局等部门</w:t>
            </w:r>
          </w:p>
        </w:tc>
        <w:tc>
          <w:tcPr>
            <w:tcW w:w="1314" w:type="dxa"/>
            <w:tcMar>
              <w:left w:w="108" w:type="dxa"/>
              <w:right w:w="108" w:type="dxa"/>
            </w:tcMar>
            <w:vAlign w:val="center"/>
          </w:tcPr>
          <w:p>
            <w:pPr>
              <w:jc w:val="center"/>
              <w:rPr>
                <w:rFonts w:ascii="仿宋_GB2312" w:hAnsi="仿宋_GB2312" w:cs="仿宋_GB2312"/>
                <w:color w:val="000000"/>
                <w:spacing w:val="-8"/>
                <w:kern w:val="0"/>
                <w:sz w:val="24"/>
                <w:szCs w:val="24"/>
              </w:rPr>
            </w:pPr>
            <w:r>
              <w:rPr>
                <w:rFonts w:hint="eastAsia" w:ascii="仿宋_GB2312" w:hAnsi="仿宋_GB2312" w:cs="仿宋_GB2312"/>
                <w:color w:val="000000"/>
                <w:spacing w:val="-8"/>
                <w:kern w:val="0"/>
                <w:sz w:val="24"/>
                <w:szCs w:val="24"/>
              </w:rPr>
              <w:t>（依据厦府规〔2022〕4号）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509" w:hRule="exact"/>
          <w:jc w:val="center"/>
        </w:trPr>
        <w:tc>
          <w:tcPr>
            <w:tcW w:w="725" w:type="dxa"/>
            <w:vMerge w:val="continue"/>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c>
          <w:tcPr>
            <w:tcW w:w="725"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13</w:t>
            </w:r>
          </w:p>
        </w:tc>
        <w:tc>
          <w:tcPr>
            <w:tcW w:w="4662" w:type="dxa"/>
            <w:tcMar>
              <w:left w:w="108" w:type="dxa"/>
              <w:right w:w="108" w:type="dxa"/>
            </w:tcMar>
            <w:vAlign w:val="center"/>
          </w:tcPr>
          <w:p>
            <w:pP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关于完善海洋生态环境保护、生物多样性保护、碳排放权交易等方面的立法</w:t>
            </w:r>
          </w:p>
        </w:tc>
        <w:tc>
          <w:tcPr>
            <w:tcW w:w="1774" w:type="dxa"/>
            <w:tcMar>
              <w:left w:w="108" w:type="dxa"/>
              <w:right w:w="108" w:type="dxa"/>
            </w:tcMar>
            <w:vAlign w:val="center"/>
          </w:tcPr>
          <w:p>
            <w:pPr>
              <w:jc w:val="center"/>
              <w:rPr>
                <w:rFonts w:ascii="仿宋_GB2312" w:hAnsi="仿宋_GB2312" w:cs="仿宋_GB2312"/>
                <w:color w:val="000000"/>
                <w:spacing w:val="-8"/>
                <w:kern w:val="0"/>
                <w:sz w:val="24"/>
                <w:szCs w:val="24"/>
              </w:rPr>
            </w:pPr>
            <w:r>
              <w:rPr>
                <w:rFonts w:hint="eastAsia" w:ascii="仿宋_GB2312" w:hAnsi="仿宋_GB2312" w:cs="仿宋_GB2312"/>
                <w:color w:val="000000"/>
                <w:spacing w:val="-8"/>
                <w:kern w:val="0"/>
                <w:sz w:val="24"/>
                <w:szCs w:val="24"/>
              </w:rPr>
              <w:t>市海洋局、市生态环境局、市资源规划局等部门</w:t>
            </w:r>
          </w:p>
        </w:tc>
        <w:tc>
          <w:tcPr>
            <w:tcW w:w="1314" w:type="dxa"/>
            <w:tcMar>
              <w:left w:w="108" w:type="dxa"/>
              <w:right w:w="108" w:type="dxa"/>
            </w:tcMar>
            <w:vAlign w:val="center"/>
          </w:tcPr>
          <w:p>
            <w:pPr>
              <w:jc w:val="center"/>
              <w:rPr>
                <w:rFonts w:ascii="仿宋_GB2312" w:hAnsi="仿宋_GB2312" w:cs="仿宋_GB2312"/>
                <w:color w:val="000000"/>
                <w:spacing w:val="-8"/>
                <w:kern w:val="0"/>
                <w:sz w:val="24"/>
                <w:szCs w:val="24"/>
              </w:rPr>
            </w:pPr>
            <w:r>
              <w:rPr>
                <w:rFonts w:hint="eastAsia" w:ascii="仿宋_GB2312" w:hAnsi="仿宋_GB2312" w:cs="仿宋_GB2312"/>
                <w:color w:val="000000"/>
                <w:spacing w:val="-8"/>
                <w:kern w:val="0"/>
                <w:sz w:val="24"/>
                <w:szCs w:val="24"/>
              </w:rPr>
              <w:t>（依据厦府办〔2022〕7号）</w:t>
            </w:r>
          </w:p>
        </w:tc>
      </w:tr>
    </w:tbl>
    <w:p>
      <w:pPr>
        <w:widowControl/>
        <w:shd w:val="clear" w:color="auto" w:fill="FFFFFF"/>
        <w:snapToGrid w:val="0"/>
        <w:spacing w:line="590" w:lineRule="exact"/>
        <w:jc w:val="center"/>
        <w:rPr>
          <w:rFonts w:hint="eastAsia" w:ascii="黑体" w:hAnsi="宋体" w:eastAsia="黑体" w:cs="宋体"/>
          <w:kern w:val="0"/>
          <w:sz w:val="32"/>
          <w:szCs w:val="32"/>
        </w:rPr>
      </w:pPr>
      <w:r>
        <w:rPr>
          <w:rFonts w:hint="eastAsia" w:ascii="黑体" w:hAnsi="宋体" w:eastAsia="黑体" w:cs="宋体"/>
          <w:kern w:val="0"/>
          <w:sz w:val="32"/>
          <w:szCs w:val="32"/>
        </w:rPr>
        <w:t>二、2023年市政府立法计划规章项目</w:t>
      </w:r>
    </w:p>
    <w:tbl>
      <w:tblPr>
        <w:tblStyle w:val="14"/>
        <w:tblW w:w="89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94"/>
        <w:gridCol w:w="741"/>
        <w:gridCol w:w="4445"/>
        <w:gridCol w:w="1705"/>
        <w:gridCol w:w="1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80" w:hRule="exact"/>
          <w:jc w:val="center"/>
        </w:trPr>
        <w:tc>
          <w:tcPr>
            <w:tcW w:w="794" w:type="dxa"/>
            <w:tcMar>
              <w:left w:w="108" w:type="dxa"/>
              <w:right w:w="108" w:type="dxa"/>
            </w:tcMar>
            <w:vAlign w:val="center"/>
          </w:tcPr>
          <w:p>
            <w:pPr>
              <w:widowControl/>
              <w:jc w:val="center"/>
              <w:rPr>
                <w:rFonts w:ascii="仿宋_GB2312" w:hAnsi="仿宋_GB2312" w:cs="仿宋_GB2312"/>
                <w:b/>
                <w:bCs/>
                <w:color w:val="000000"/>
                <w:kern w:val="0"/>
                <w:sz w:val="24"/>
              </w:rPr>
            </w:pPr>
            <w:r>
              <w:rPr>
                <w:rFonts w:hint="eastAsia" w:ascii="仿宋_GB2312" w:hAnsi="仿宋_GB2312" w:cs="仿宋_GB2312"/>
                <w:b/>
                <w:bCs/>
                <w:color w:val="000000"/>
                <w:kern w:val="0"/>
                <w:sz w:val="24"/>
              </w:rPr>
              <w:t>分类</w:t>
            </w:r>
          </w:p>
        </w:tc>
        <w:tc>
          <w:tcPr>
            <w:tcW w:w="741" w:type="dxa"/>
            <w:tcMar>
              <w:left w:w="108" w:type="dxa"/>
              <w:right w:w="108" w:type="dxa"/>
            </w:tcMar>
            <w:vAlign w:val="center"/>
          </w:tcPr>
          <w:p>
            <w:pPr>
              <w:widowControl/>
              <w:jc w:val="center"/>
              <w:rPr>
                <w:rFonts w:ascii="仿宋_GB2312" w:hAnsi="仿宋_GB2312" w:cs="仿宋_GB2312"/>
                <w:b/>
                <w:bCs/>
                <w:color w:val="000000"/>
                <w:kern w:val="0"/>
                <w:sz w:val="24"/>
              </w:rPr>
            </w:pPr>
            <w:r>
              <w:rPr>
                <w:rFonts w:hint="eastAsia" w:ascii="仿宋_GB2312" w:hAnsi="仿宋_GB2312" w:cs="仿宋_GB2312"/>
                <w:b/>
                <w:bCs/>
                <w:color w:val="000000"/>
                <w:kern w:val="0"/>
                <w:sz w:val="24"/>
              </w:rPr>
              <w:t>序号</w:t>
            </w:r>
          </w:p>
        </w:tc>
        <w:tc>
          <w:tcPr>
            <w:tcW w:w="4445" w:type="dxa"/>
            <w:tcMar>
              <w:left w:w="108" w:type="dxa"/>
              <w:right w:w="108" w:type="dxa"/>
            </w:tcMar>
            <w:vAlign w:val="center"/>
          </w:tcPr>
          <w:p>
            <w:pPr>
              <w:widowControl/>
              <w:jc w:val="center"/>
              <w:rPr>
                <w:rFonts w:ascii="仿宋_GB2312" w:hAnsi="仿宋_GB2312" w:cs="仿宋_GB2312"/>
                <w:b/>
                <w:bCs/>
                <w:color w:val="000000"/>
                <w:kern w:val="0"/>
                <w:sz w:val="24"/>
              </w:rPr>
            </w:pPr>
            <w:r>
              <w:rPr>
                <w:rFonts w:hint="eastAsia" w:ascii="仿宋_GB2312" w:hAnsi="仿宋_GB2312" w:cs="仿宋_GB2312"/>
                <w:b/>
                <w:bCs/>
                <w:color w:val="000000"/>
                <w:kern w:val="0"/>
                <w:sz w:val="24"/>
              </w:rPr>
              <w:t>规章名称</w:t>
            </w:r>
          </w:p>
        </w:tc>
        <w:tc>
          <w:tcPr>
            <w:tcW w:w="1705" w:type="dxa"/>
            <w:tcMar>
              <w:left w:w="108" w:type="dxa"/>
              <w:right w:w="108" w:type="dxa"/>
            </w:tcMar>
            <w:vAlign w:val="center"/>
          </w:tcPr>
          <w:p>
            <w:pPr>
              <w:widowControl/>
              <w:jc w:val="center"/>
              <w:rPr>
                <w:rFonts w:ascii="仿宋_GB2312" w:hAnsi="仿宋_GB2312" w:cs="仿宋_GB2312"/>
                <w:b/>
                <w:bCs/>
                <w:color w:val="000000"/>
                <w:kern w:val="0"/>
                <w:sz w:val="24"/>
              </w:rPr>
            </w:pPr>
            <w:r>
              <w:rPr>
                <w:rFonts w:hint="eastAsia" w:ascii="仿宋_GB2312" w:hAnsi="仿宋_GB2312" w:cs="仿宋_GB2312"/>
                <w:b/>
                <w:bCs/>
                <w:color w:val="000000"/>
                <w:kern w:val="0"/>
                <w:sz w:val="24"/>
              </w:rPr>
              <w:t>起草责任单位</w:t>
            </w:r>
          </w:p>
        </w:tc>
        <w:tc>
          <w:tcPr>
            <w:tcW w:w="1262" w:type="dxa"/>
            <w:tcMar>
              <w:left w:w="108" w:type="dxa"/>
              <w:right w:w="108" w:type="dxa"/>
            </w:tcMar>
            <w:vAlign w:val="center"/>
          </w:tcPr>
          <w:p>
            <w:pPr>
              <w:widowControl/>
              <w:jc w:val="center"/>
              <w:rPr>
                <w:rFonts w:ascii="仿宋_GB2312" w:hAnsi="仿宋_GB2312" w:cs="仿宋_GB2312"/>
                <w:b/>
                <w:bCs/>
                <w:color w:val="000000"/>
                <w:kern w:val="0"/>
                <w:sz w:val="24"/>
              </w:rPr>
            </w:pPr>
            <w:r>
              <w:rPr>
                <w:rFonts w:hint="eastAsia" w:ascii="仿宋_GB2312" w:hAnsi="仿宋_GB2312" w:cs="仿宋_GB2312"/>
                <w:b/>
                <w:bCs/>
                <w:color w:val="000000"/>
                <w:kern w:val="0"/>
                <w:sz w:val="24"/>
              </w:rPr>
              <w:t>草案报送时间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2" w:hRule="exact"/>
          <w:jc w:val="center"/>
        </w:trPr>
        <w:tc>
          <w:tcPr>
            <w:tcW w:w="794" w:type="dxa"/>
            <w:vMerge w:val="restart"/>
            <w:tcMar>
              <w:left w:w="108" w:type="dxa"/>
              <w:right w:w="108" w:type="dxa"/>
            </w:tcMar>
            <w:vAlign w:val="center"/>
          </w:tcPr>
          <w:p>
            <w:pPr>
              <w:widowControl/>
              <w:jc w:val="center"/>
              <w:rPr>
                <w:rFonts w:ascii="仿宋_GB2312" w:hAnsi="仿宋_GB2312" w:cs="仿宋_GB2312"/>
                <w:color w:val="000000"/>
                <w:kern w:val="0"/>
                <w:sz w:val="24"/>
              </w:rPr>
            </w:pPr>
            <w:r>
              <w:rPr>
                <w:rFonts w:hint="eastAsia" w:ascii="仿宋_GB2312" w:hAnsi="仿宋_GB2312" w:cs="仿宋_GB2312"/>
                <w:color w:val="000000"/>
                <w:kern w:val="0"/>
                <w:sz w:val="24"/>
              </w:rPr>
              <w:t>正</w:t>
            </w:r>
          </w:p>
          <w:p>
            <w:pPr>
              <w:widowControl/>
              <w:jc w:val="center"/>
              <w:rPr>
                <w:rFonts w:ascii="仿宋_GB2312" w:hAnsi="仿宋_GB2312" w:cs="仿宋_GB2312"/>
                <w:color w:val="000000"/>
                <w:kern w:val="0"/>
                <w:sz w:val="24"/>
              </w:rPr>
            </w:pPr>
            <w:r>
              <w:rPr>
                <w:rFonts w:hint="eastAsia" w:ascii="仿宋_GB2312" w:hAnsi="仿宋_GB2312" w:cs="仿宋_GB2312"/>
                <w:color w:val="000000"/>
                <w:kern w:val="0"/>
                <w:sz w:val="24"/>
              </w:rPr>
              <w:t>式</w:t>
            </w:r>
          </w:p>
          <w:p>
            <w:pPr>
              <w:widowControl/>
              <w:jc w:val="center"/>
              <w:rPr>
                <w:rFonts w:ascii="仿宋_GB2312" w:hAnsi="仿宋_GB2312" w:cs="仿宋_GB2312"/>
                <w:color w:val="000000"/>
                <w:kern w:val="0"/>
                <w:sz w:val="24"/>
              </w:rPr>
            </w:pPr>
            <w:r>
              <w:rPr>
                <w:rFonts w:hint="eastAsia" w:ascii="仿宋_GB2312" w:hAnsi="仿宋_GB2312" w:cs="仿宋_GB2312"/>
                <w:color w:val="000000"/>
                <w:kern w:val="0"/>
                <w:sz w:val="24"/>
              </w:rPr>
              <w:t>项</w:t>
            </w:r>
          </w:p>
          <w:p>
            <w:pPr>
              <w:widowControl/>
              <w:jc w:val="center"/>
              <w:rPr>
                <w:rFonts w:ascii="仿宋_GB2312" w:hAnsi="仿宋_GB2312" w:cs="仿宋_GB2312"/>
                <w:color w:val="000000"/>
                <w:kern w:val="0"/>
                <w:sz w:val="24"/>
              </w:rPr>
            </w:pPr>
            <w:r>
              <w:rPr>
                <w:rFonts w:hint="eastAsia" w:ascii="仿宋_GB2312" w:hAnsi="仿宋_GB2312" w:cs="仿宋_GB2312"/>
                <w:color w:val="000000"/>
                <w:kern w:val="0"/>
                <w:sz w:val="24"/>
              </w:rPr>
              <w:t>目</w:t>
            </w:r>
          </w:p>
        </w:tc>
        <w:tc>
          <w:tcPr>
            <w:tcW w:w="741" w:type="dxa"/>
            <w:tcMar>
              <w:left w:w="108" w:type="dxa"/>
              <w:right w:w="108" w:type="dxa"/>
            </w:tcMar>
            <w:vAlign w:val="center"/>
          </w:tcPr>
          <w:p>
            <w:pPr>
              <w:widowControl/>
              <w:jc w:val="center"/>
              <w:rPr>
                <w:rFonts w:ascii="仿宋_GB2312" w:hAnsi="仿宋_GB2312" w:cs="仿宋_GB2312"/>
                <w:color w:val="000000"/>
                <w:kern w:val="0"/>
                <w:sz w:val="24"/>
              </w:rPr>
            </w:pPr>
            <w:r>
              <w:rPr>
                <w:rFonts w:hint="eastAsia" w:ascii="仿宋_GB2312" w:hAnsi="仿宋_GB2312" w:cs="仿宋_GB2312"/>
                <w:color w:val="000000"/>
                <w:kern w:val="0"/>
                <w:sz w:val="24"/>
              </w:rPr>
              <w:t>1</w:t>
            </w:r>
          </w:p>
        </w:tc>
        <w:tc>
          <w:tcPr>
            <w:tcW w:w="4445" w:type="dxa"/>
            <w:tcMar>
              <w:left w:w="108" w:type="dxa"/>
              <w:right w:w="108" w:type="dxa"/>
            </w:tcMar>
            <w:vAlign w:val="center"/>
          </w:tcPr>
          <w:p>
            <w:pPr>
              <w:rPr>
                <w:rFonts w:ascii="仿宋_GB2312" w:hAnsi="仿宋_GB2312" w:cs="仿宋_GB2312"/>
                <w:color w:val="000000"/>
                <w:kern w:val="0"/>
                <w:sz w:val="24"/>
                <w:szCs w:val="22"/>
              </w:rPr>
            </w:pPr>
            <w:r>
              <w:rPr>
                <w:rFonts w:hint="eastAsia" w:ascii="仿宋_GB2312" w:hAnsi="仿宋_GB2312" w:cs="仿宋_GB2312"/>
                <w:color w:val="000000"/>
                <w:kern w:val="0"/>
                <w:sz w:val="24"/>
                <w:szCs w:val="22"/>
              </w:rPr>
              <w:t>厦门市海绵城市建设管理规定</w:t>
            </w:r>
          </w:p>
        </w:tc>
        <w:tc>
          <w:tcPr>
            <w:tcW w:w="1705" w:type="dxa"/>
            <w:tcMar>
              <w:left w:w="108" w:type="dxa"/>
              <w:right w:w="108" w:type="dxa"/>
            </w:tcMar>
            <w:vAlign w:val="center"/>
          </w:tcPr>
          <w:p>
            <w:pPr>
              <w:rPr>
                <w:rFonts w:ascii="仿宋_GB2312" w:hAnsi="仿宋_GB2312" w:cs="仿宋_GB2312"/>
                <w:color w:val="000000"/>
                <w:kern w:val="0"/>
                <w:sz w:val="24"/>
                <w:szCs w:val="22"/>
              </w:rPr>
            </w:pPr>
            <w:r>
              <w:rPr>
                <w:rFonts w:hint="eastAsia" w:ascii="仿宋_GB2312" w:hAnsi="仿宋_GB2312" w:cs="仿宋_GB2312"/>
                <w:color w:val="000000"/>
                <w:kern w:val="0"/>
                <w:sz w:val="24"/>
                <w:szCs w:val="22"/>
              </w:rPr>
              <w:t>市市政园林局</w:t>
            </w:r>
          </w:p>
        </w:tc>
        <w:tc>
          <w:tcPr>
            <w:tcW w:w="1262" w:type="dxa"/>
            <w:tcMar>
              <w:left w:w="108" w:type="dxa"/>
              <w:right w:w="108" w:type="dxa"/>
            </w:tcMar>
            <w:vAlign w:val="center"/>
          </w:tcPr>
          <w:p>
            <w:pPr>
              <w:widowControl/>
              <w:jc w:val="center"/>
              <w:rPr>
                <w:rFonts w:ascii="仿宋_GB2312" w:hAnsi="仿宋_GB2312" w:cs="仿宋_GB2312"/>
                <w:color w:val="000000"/>
                <w:kern w:val="0"/>
                <w:sz w:val="24"/>
              </w:rPr>
            </w:pPr>
            <w:r>
              <w:rPr>
                <w:rFonts w:hint="eastAsia" w:ascii="仿宋_GB2312" w:hAnsi="仿宋_GB2312" w:cs="仿宋_GB2312"/>
                <w:color w:val="000000"/>
                <w:kern w:val="0"/>
                <w:sz w:val="24"/>
              </w:rPr>
              <w:t>8月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27" w:hRule="exact"/>
          <w:jc w:val="center"/>
        </w:trPr>
        <w:tc>
          <w:tcPr>
            <w:tcW w:w="794" w:type="dxa"/>
            <w:vMerge w:val="continue"/>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c>
          <w:tcPr>
            <w:tcW w:w="741" w:type="dxa"/>
            <w:tcMar>
              <w:left w:w="108" w:type="dxa"/>
              <w:right w:w="108" w:type="dxa"/>
            </w:tcMar>
            <w:vAlign w:val="center"/>
          </w:tcPr>
          <w:p>
            <w:pPr>
              <w:widowControl/>
              <w:jc w:val="center"/>
              <w:rPr>
                <w:rFonts w:ascii="仿宋_GB2312" w:hAnsi="仿宋_GB2312" w:cs="仿宋_GB2312"/>
                <w:color w:val="000000"/>
                <w:kern w:val="0"/>
                <w:sz w:val="24"/>
              </w:rPr>
            </w:pPr>
            <w:r>
              <w:rPr>
                <w:rFonts w:hint="eastAsia" w:ascii="仿宋_GB2312" w:hAnsi="仿宋_GB2312" w:cs="仿宋_GB2312"/>
                <w:color w:val="000000"/>
                <w:kern w:val="0"/>
                <w:sz w:val="24"/>
              </w:rPr>
              <w:t>2</w:t>
            </w:r>
          </w:p>
        </w:tc>
        <w:tc>
          <w:tcPr>
            <w:tcW w:w="4445" w:type="dxa"/>
            <w:tcMar>
              <w:left w:w="108" w:type="dxa"/>
              <w:right w:w="108" w:type="dxa"/>
            </w:tcMar>
            <w:vAlign w:val="center"/>
          </w:tcPr>
          <w:p>
            <w:pPr>
              <w:rPr>
                <w:rFonts w:ascii="仿宋_GB2312" w:hAnsi="仿宋_GB2312" w:cs="仿宋_GB2312"/>
                <w:color w:val="000000"/>
                <w:kern w:val="0"/>
                <w:sz w:val="24"/>
                <w:szCs w:val="22"/>
              </w:rPr>
            </w:pPr>
            <w:r>
              <w:rPr>
                <w:rFonts w:hint="eastAsia" w:ascii="仿宋_GB2312" w:hAnsi="仿宋_GB2312" w:cs="仿宋_GB2312"/>
                <w:color w:val="000000"/>
                <w:kern w:val="0"/>
                <w:sz w:val="24"/>
                <w:szCs w:val="22"/>
              </w:rPr>
              <w:t>涉及民法典、外商投资法、行政处罚法、优化营商环境、产权保护、“放管服”改革等规章清理</w:t>
            </w:r>
          </w:p>
        </w:tc>
        <w:tc>
          <w:tcPr>
            <w:tcW w:w="1705" w:type="dxa"/>
            <w:tcMar>
              <w:left w:w="108" w:type="dxa"/>
              <w:right w:w="108" w:type="dxa"/>
            </w:tcMar>
            <w:vAlign w:val="center"/>
          </w:tcPr>
          <w:p>
            <w:pPr>
              <w:rPr>
                <w:rFonts w:ascii="仿宋_GB2312" w:hAnsi="仿宋_GB2312" w:cs="仿宋_GB2312"/>
                <w:color w:val="000000"/>
                <w:kern w:val="0"/>
                <w:sz w:val="24"/>
                <w:szCs w:val="22"/>
              </w:rPr>
            </w:pPr>
            <w:r>
              <w:rPr>
                <w:rFonts w:hint="eastAsia" w:ascii="仿宋_GB2312" w:hAnsi="仿宋_GB2312" w:cs="仿宋_GB2312"/>
                <w:color w:val="000000"/>
                <w:kern w:val="0"/>
                <w:sz w:val="24"/>
                <w:szCs w:val="22"/>
              </w:rPr>
              <w:t>市司法局及相关部门</w:t>
            </w:r>
          </w:p>
        </w:tc>
        <w:tc>
          <w:tcPr>
            <w:tcW w:w="1262" w:type="dxa"/>
            <w:tcMar>
              <w:left w:w="108" w:type="dxa"/>
              <w:right w:w="108" w:type="dxa"/>
            </w:tcMar>
            <w:vAlign w:val="center"/>
          </w:tcPr>
          <w:p>
            <w:pPr>
              <w:widowControl/>
              <w:jc w:val="center"/>
              <w:rPr>
                <w:rFonts w:ascii="仿宋_GB2312" w:hAnsi="仿宋_GB2312"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93" w:hRule="exact"/>
          <w:jc w:val="center"/>
        </w:trPr>
        <w:tc>
          <w:tcPr>
            <w:tcW w:w="794" w:type="dxa"/>
            <w:vMerge w:val="restart"/>
            <w:tcMar>
              <w:left w:w="108" w:type="dxa"/>
              <w:right w:w="108" w:type="dxa"/>
            </w:tcMar>
            <w:vAlign w:val="center"/>
          </w:tcPr>
          <w:p>
            <w:pPr>
              <w:widowControl/>
              <w:jc w:val="center"/>
              <w:rPr>
                <w:rFonts w:ascii="仿宋_GB2312" w:hAnsi="仿宋_GB2312" w:cs="仿宋_GB2312"/>
                <w:color w:val="000000"/>
                <w:kern w:val="0"/>
                <w:sz w:val="24"/>
              </w:rPr>
            </w:pPr>
            <w:r>
              <w:rPr>
                <w:rFonts w:hint="eastAsia" w:ascii="仿宋_GB2312" w:hAnsi="仿宋_GB2312" w:cs="仿宋_GB2312"/>
                <w:color w:val="000000"/>
                <w:kern w:val="0"/>
                <w:sz w:val="24"/>
              </w:rPr>
              <w:t>备</w:t>
            </w:r>
          </w:p>
          <w:p>
            <w:pPr>
              <w:widowControl/>
              <w:jc w:val="center"/>
              <w:rPr>
                <w:rFonts w:ascii="仿宋_GB2312" w:hAnsi="仿宋_GB2312" w:cs="仿宋_GB2312"/>
                <w:color w:val="000000"/>
                <w:kern w:val="0"/>
                <w:sz w:val="24"/>
              </w:rPr>
            </w:pPr>
            <w:r>
              <w:rPr>
                <w:rFonts w:hint="eastAsia" w:ascii="仿宋_GB2312" w:hAnsi="仿宋_GB2312" w:cs="仿宋_GB2312"/>
                <w:color w:val="000000"/>
                <w:kern w:val="0"/>
                <w:sz w:val="24"/>
              </w:rPr>
              <w:t>选</w:t>
            </w:r>
          </w:p>
          <w:p>
            <w:pPr>
              <w:widowControl/>
              <w:jc w:val="center"/>
              <w:rPr>
                <w:rFonts w:ascii="仿宋_GB2312" w:hAnsi="仿宋_GB2312" w:cs="仿宋_GB2312"/>
                <w:color w:val="000000"/>
                <w:kern w:val="0"/>
                <w:sz w:val="24"/>
              </w:rPr>
            </w:pPr>
            <w:r>
              <w:rPr>
                <w:rFonts w:hint="eastAsia" w:ascii="仿宋_GB2312" w:hAnsi="仿宋_GB2312" w:cs="仿宋_GB2312"/>
                <w:color w:val="000000"/>
                <w:kern w:val="0"/>
                <w:sz w:val="24"/>
              </w:rPr>
              <w:t>项</w:t>
            </w:r>
          </w:p>
          <w:p>
            <w:pPr>
              <w:widowControl/>
              <w:jc w:val="center"/>
              <w:rPr>
                <w:rFonts w:ascii="仿宋_GB2312" w:hAnsi="仿宋_GB2312" w:cs="仿宋_GB2312"/>
                <w:color w:val="000000"/>
                <w:kern w:val="0"/>
                <w:sz w:val="24"/>
              </w:rPr>
            </w:pPr>
            <w:r>
              <w:rPr>
                <w:rFonts w:hint="eastAsia" w:ascii="仿宋_GB2312" w:hAnsi="仿宋_GB2312" w:cs="仿宋_GB2312"/>
                <w:color w:val="000000"/>
                <w:kern w:val="0"/>
                <w:sz w:val="24"/>
              </w:rPr>
              <w:t>目</w:t>
            </w:r>
          </w:p>
        </w:tc>
        <w:tc>
          <w:tcPr>
            <w:tcW w:w="741" w:type="dxa"/>
            <w:tcMar>
              <w:left w:w="108" w:type="dxa"/>
              <w:right w:w="108" w:type="dxa"/>
            </w:tcMar>
            <w:vAlign w:val="center"/>
          </w:tcPr>
          <w:p>
            <w:pPr>
              <w:jc w:val="center"/>
              <w:rPr>
                <w:rFonts w:ascii="仿宋_GB2312" w:hAnsi="仿宋_GB2312" w:cs="仿宋_GB2312"/>
                <w:color w:val="000000"/>
                <w:kern w:val="0"/>
                <w:sz w:val="24"/>
              </w:rPr>
            </w:pPr>
            <w:r>
              <w:rPr>
                <w:rFonts w:hint="eastAsia" w:ascii="仿宋_GB2312" w:hAnsi="仿宋_GB2312" w:cs="仿宋_GB2312"/>
                <w:color w:val="000000"/>
                <w:kern w:val="0"/>
                <w:sz w:val="24"/>
                <w:szCs w:val="22"/>
              </w:rPr>
              <w:t>1</w:t>
            </w:r>
          </w:p>
        </w:tc>
        <w:tc>
          <w:tcPr>
            <w:tcW w:w="4445" w:type="dxa"/>
            <w:tcMar>
              <w:left w:w="108" w:type="dxa"/>
              <w:right w:w="108" w:type="dxa"/>
            </w:tcMar>
            <w:vAlign w:val="center"/>
          </w:tcPr>
          <w:p>
            <w:pPr>
              <w:rPr>
                <w:rFonts w:ascii="仿宋_GB2312" w:hAnsi="仿宋_GB2312" w:cs="仿宋_GB2312"/>
                <w:color w:val="000000"/>
                <w:kern w:val="0"/>
                <w:sz w:val="24"/>
                <w:szCs w:val="22"/>
              </w:rPr>
            </w:pPr>
            <w:r>
              <w:rPr>
                <w:rFonts w:hint="eastAsia" w:ascii="仿宋_GB2312" w:hAnsi="仿宋_GB2312" w:cs="仿宋_GB2312"/>
                <w:color w:val="000000"/>
                <w:kern w:val="0"/>
                <w:sz w:val="24"/>
                <w:szCs w:val="22"/>
              </w:rPr>
              <w:t>厦门市房屋安全管理规定（修改）</w:t>
            </w:r>
          </w:p>
        </w:tc>
        <w:tc>
          <w:tcPr>
            <w:tcW w:w="1705" w:type="dxa"/>
            <w:tcMar>
              <w:left w:w="108" w:type="dxa"/>
              <w:right w:w="108" w:type="dxa"/>
            </w:tcMar>
            <w:vAlign w:val="center"/>
          </w:tcPr>
          <w:p>
            <w:pPr>
              <w:rPr>
                <w:rFonts w:ascii="仿宋_GB2312" w:hAnsi="仿宋_GB2312" w:cs="仿宋_GB2312"/>
                <w:color w:val="000000"/>
                <w:kern w:val="0"/>
                <w:sz w:val="24"/>
                <w:szCs w:val="22"/>
              </w:rPr>
            </w:pPr>
            <w:r>
              <w:rPr>
                <w:rFonts w:hint="eastAsia" w:ascii="仿宋_GB2312" w:hAnsi="仿宋_GB2312" w:cs="仿宋_GB2312"/>
                <w:color w:val="000000"/>
                <w:kern w:val="0"/>
                <w:sz w:val="24"/>
                <w:szCs w:val="22"/>
              </w:rPr>
              <w:t>市住房局</w:t>
            </w:r>
          </w:p>
        </w:tc>
        <w:tc>
          <w:tcPr>
            <w:tcW w:w="1262" w:type="dxa"/>
            <w:tcMar>
              <w:left w:w="108" w:type="dxa"/>
              <w:right w:w="108" w:type="dxa"/>
            </w:tcMar>
            <w:vAlign w:val="center"/>
          </w:tcPr>
          <w:p>
            <w:pPr>
              <w:jc w:val="center"/>
              <w:rPr>
                <w:rFonts w:ascii="仿宋_GB2312" w:hAnsi="仿宋_GB2312"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9" w:hRule="exact"/>
          <w:jc w:val="center"/>
        </w:trPr>
        <w:tc>
          <w:tcPr>
            <w:tcW w:w="794" w:type="dxa"/>
            <w:vMerge w:val="continue"/>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c>
          <w:tcPr>
            <w:tcW w:w="741" w:type="dxa"/>
            <w:tcMar>
              <w:left w:w="108" w:type="dxa"/>
              <w:right w:w="108" w:type="dxa"/>
            </w:tcMar>
            <w:vAlign w:val="center"/>
          </w:tcPr>
          <w:p>
            <w:pPr>
              <w:jc w:val="center"/>
              <w:rPr>
                <w:rFonts w:ascii="仿宋_GB2312" w:hAnsi="仿宋_GB2312" w:cs="仿宋_GB2312"/>
                <w:color w:val="000000"/>
                <w:kern w:val="0"/>
                <w:sz w:val="24"/>
              </w:rPr>
            </w:pPr>
            <w:r>
              <w:rPr>
                <w:rFonts w:hint="eastAsia" w:ascii="仿宋_GB2312" w:hAnsi="仿宋_GB2312" w:cs="仿宋_GB2312"/>
                <w:color w:val="000000"/>
                <w:kern w:val="0"/>
                <w:sz w:val="24"/>
                <w:szCs w:val="22"/>
              </w:rPr>
              <w:t>2</w:t>
            </w:r>
          </w:p>
        </w:tc>
        <w:tc>
          <w:tcPr>
            <w:tcW w:w="4445" w:type="dxa"/>
            <w:tcMar>
              <w:left w:w="108" w:type="dxa"/>
              <w:right w:w="108" w:type="dxa"/>
            </w:tcMar>
            <w:vAlign w:val="center"/>
          </w:tcPr>
          <w:p>
            <w:pPr>
              <w:rPr>
                <w:rFonts w:ascii="仿宋_GB2312" w:hAnsi="仿宋_GB2312" w:cs="仿宋_GB2312"/>
                <w:color w:val="000000"/>
                <w:kern w:val="0"/>
                <w:sz w:val="24"/>
                <w:szCs w:val="22"/>
              </w:rPr>
            </w:pPr>
            <w:r>
              <w:rPr>
                <w:rFonts w:hint="eastAsia" w:ascii="仿宋_GB2312" w:hAnsi="仿宋_GB2312" w:cs="仿宋_GB2312"/>
                <w:color w:val="000000"/>
                <w:kern w:val="0"/>
                <w:sz w:val="24"/>
                <w:szCs w:val="22"/>
              </w:rPr>
              <w:t>厦门市行政执法证件管理办法（修改）</w:t>
            </w:r>
          </w:p>
        </w:tc>
        <w:tc>
          <w:tcPr>
            <w:tcW w:w="1705" w:type="dxa"/>
            <w:tcMar>
              <w:left w:w="108" w:type="dxa"/>
              <w:right w:w="108" w:type="dxa"/>
            </w:tcMar>
            <w:vAlign w:val="center"/>
          </w:tcPr>
          <w:p>
            <w:pPr>
              <w:rPr>
                <w:rFonts w:ascii="仿宋_GB2312" w:hAnsi="仿宋_GB2312" w:cs="仿宋_GB2312"/>
                <w:color w:val="000000"/>
                <w:kern w:val="0"/>
                <w:sz w:val="24"/>
                <w:szCs w:val="22"/>
              </w:rPr>
            </w:pPr>
            <w:r>
              <w:rPr>
                <w:rFonts w:hint="eastAsia" w:ascii="仿宋_GB2312" w:hAnsi="仿宋_GB2312" w:cs="仿宋_GB2312"/>
                <w:color w:val="000000"/>
                <w:kern w:val="0"/>
                <w:sz w:val="24"/>
                <w:szCs w:val="22"/>
              </w:rPr>
              <w:t>市司法局</w:t>
            </w:r>
          </w:p>
        </w:tc>
        <w:tc>
          <w:tcPr>
            <w:tcW w:w="1262" w:type="dxa"/>
            <w:tcMar>
              <w:left w:w="108" w:type="dxa"/>
              <w:right w:w="108" w:type="dxa"/>
            </w:tcMar>
            <w:vAlign w:val="center"/>
          </w:tcPr>
          <w:p>
            <w:pPr>
              <w:widowControl/>
              <w:jc w:val="center"/>
              <w:rPr>
                <w:rFonts w:ascii="仿宋_GB2312" w:hAnsi="仿宋_GB2312"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2" w:hRule="exact"/>
          <w:jc w:val="center"/>
        </w:trPr>
        <w:tc>
          <w:tcPr>
            <w:tcW w:w="794" w:type="dxa"/>
            <w:vMerge w:val="continue"/>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c>
          <w:tcPr>
            <w:tcW w:w="741" w:type="dxa"/>
            <w:tcMar>
              <w:left w:w="108" w:type="dxa"/>
              <w:right w:w="108" w:type="dxa"/>
            </w:tcMar>
            <w:vAlign w:val="center"/>
          </w:tcPr>
          <w:p>
            <w:pPr>
              <w:jc w:val="center"/>
              <w:rPr>
                <w:rFonts w:ascii="仿宋_GB2312" w:hAnsi="仿宋_GB2312" w:cs="仿宋_GB2312"/>
                <w:color w:val="000000"/>
                <w:kern w:val="0"/>
                <w:sz w:val="24"/>
              </w:rPr>
            </w:pPr>
            <w:r>
              <w:rPr>
                <w:rFonts w:hint="eastAsia" w:ascii="仿宋_GB2312" w:hAnsi="仿宋_GB2312" w:cs="仿宋_GB2312"/>
                <w:color w:val="000000"/>
                <w:kern w:val="0"/>
                <w:sz w:val="24"/>
                <w:szCs w:val="22"/>
              </w:rPr>
              <w:t>3</w:t>
            </w:r>
          </w:p>
        </w:tc>
        <w:tc>
          <w:tcPr>
            <w:tcW w:w="4445" w:type="dxa"/>
            <w:tcMar>
              <w:left w:w="108" w:type="dxa"/>
              <w:right w:w="108" w:type="dxa"/>
            </w:tcMar>
            <w:vAlign w:val="center"/>
          </w:tcPr>
          <w:p>
            <w:pPr>
              <w:rPr>
                <w:rFonts w:ascii="仿宋_GB2312" w:hAnsi="仿宋_GB2312" w:cs="仿宋_GB2312"/>
                <w:color w:val="000000"/>
                <w:kern w:val="0"/>
                <w:sz w:val="24"/>
                <w:szCs w:val="22"/>
              </w:rPr>
            </w:pPr>
            <w:r>
              <w:rPr>
                <w:rFonts w:hint="eastAsia" w:ascii="仿宋_GB2312" w:hAnsi="仿宋_GB2312" w:cs="仿宋_GB2312"/>
                <w:color w:val="000000"/>
                <w:kern w:val="0"/>
                <w:sz w:val="24"/>
                <w:szCs w:val="22"/>
              </w:rPr>
              <w:t>厦门市地名管理规定</w:t>
            </w:r>
          </w:p>
        </w:tc>
        <w:tc>
          <w:tcPr>
            <w:tcW w:w="1705" w:type="dxa"/>
            <w:tcMar>
              <w:left w:w="108" w:type="dxa"/>
              <w:right w:w="108" w:type="dxa"/>
            </w:tcMar>
            <w:vAlign w:val="center"/>
          </w:tcPr>
          <w:p>
            <w:pPr>
              <w:rPr>
                <w:rFonts w:ascii="仿宋_GB2312" w:hAnsi="仿宋_GB2312" w:cs="仿宋_GB2312"/>
                <w:color w:val="000000"/>
                <w:kern w:val="0"/>
                <w:sz w:val="24"/>
                <w:szCs w:val="22"/>
              </w:rPr>
            </w:pPr>
            <w:r>
              <w:rPr>
                <w:rFonts w:hint="eastAsia" w:ascii="仿宋_GB2312" w:hAnsi="仿宋_GB2312" w:cs="仿宋_GB2312"/>
                <w:color w:val="000000"/>
                <w:kern w:val="0"/>
                <w:sz w:val="24"/>
                <w:szCs w:val="22"/>
              </w:rPr>
              <w:t>市民政局</w:t>
            </w:r>
          </w:p>
        </w:tc>
        <w:tc>
          <w:tcPr>
            <w:tcW w:w="1262" w:type="dxa"/>
            <w:tcMar>
              <w:left w:w="108" w:type="dxa"/>
              <w:right w:w="108" w:type="dxa"/>
            </w:tcMar>
            <w:vAlign w:val="center"/>
          </w:tcPr>
          <w:p>
            <w:pPr>
              <w:widowControl/>
              <w:jc w:val="center"/>
              <w:rPr>
                <w:rFonts w:ascii="仿宋_GB2312" w:hAnsi="仿宋_GB2312"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406" w:hRule="atLeast"/>
          <w:jc w:val="center"/>
        </w:trPr>
        <w:tc>
          <w:tcPr>
            <w:tcW w:w="794" w:type="dxa"/>
            <w:tcMar>
              <w:left w:w="108" w:type="dxa"/>
              <w:right w:w="108" w:type="dxa"/>
            </w:tcMar>
            <w:vAlign w:val="center"/>
          </w:tcPr>
          <w:p>
            <w:pPr>
              <w:widowControl/>
              <w:jc w:val="center"/>
              <w:rPr>
                <w:rFonts w:ascii="仿宋_GB2312" w:hAnsi="仿宋_GB2312" w:cs="仿宋_GB2312"/>
                <w:color w:val="000000"/>
                <w:kern w:val="0"/>
                <w:sz w:val="24"/>
              </w:rPr>
            </w:pPr>
            <w:r>
              <w:rPr>
                <w:rFonts w:hint="eastAsia" w:ascii="仿宋_GB2312" w:hAnsi="仿宋_GB2312" w:cs="仿宋_GB2312"/>
                <w:color w:val="000000"/>
                <w:kern w:val="0"/>
                <w:sz w:val="24"/>
              </w:rPr>
              <w:t>立法后评估项目</w:t>
            </w:r>
          </w:p>
        </w:tc>
        <w:tc>
          <w:tcPr>
            <w:tcW w:w="741" w:type="dxa"/>
            <w:tcMar>
              <w:left w:w="108" w:type="dxa"/>
              <w:right w:w="108" w:type="dxa"/>
            </w:tcMar>
            <w:vAlign w:val="center"/>
          </w:tcPr>
          <w:p>
            <w:pPr>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2"/>
              </w:rPr>
              <w:t>1</w:t>
            </w:r>
          </w:p>
        </w:tc>
        <w:tc>
          <w:tcPr>
            <w:tcW w:w="4445" w:type="dxa"/>
            <w:tcMar>
              <w:left w:w="108" w:type="dxa"/>
              <w:right w:w="108" w:type="dxa"/>
            </w:tcMar>
            <w:vAlign w:val="center"/>
          </w:tcPr>
          <w:p>
            <w:pPr>
              <w:rPr>
                <w:rFonts w:ascii="仿宋_GB2312" w:hAnsi="仿宋_GB2312" w:cs="仿宋_GB2312"/>
                <w:color w:val="000000"/>
                <w:kern w:val="0"/>
                <w:sz w:val="24"/>
                <w:szCs w:val="22"/>
              </w:rPr>
            </w:pPr>
            <w:r>
              <w:rPr>
                <w:rFonts w:hint="eastAsia" w:ascii="仿宋_GB2312" w:hAnsi="仿宋_GB2312" w:cs="仿宋_GB2312"/>
                <w:color w:val="000000"/>
                <w:kern w:val="0"/>
                <w:sz w:val="24"/>
                <w:szCs w:val="22"/>
              </w:rPr>
              <w:t>厦门市建设工程造价管理规定</w:t>
            </w:r>
          </w:p>
        </w:tc>
        <w:tc>
          <w:tcPr>
            <w:tcW w:w="1705" w:type="dxa"/>
            <w:tcMar>
              <w:left w:w="108" w:type="dxa"/>
              <w:right w:w="108" w:type="dxa"/>
            </w:tcMar>
            <w:vAlign w:val="center"/>
          </w:tcPr>
          <w:p>
            <w:pPr>
              <w:rPr>
                <w:rFonts w:ascii="仿宋_GB2312" w:hAnsi="仿宋_GB2312" w:cs="仿宋_GB2312"/>
                <w:color w:val="000000"/>
                <w:kern w:val="0"/>
                <w:sz w:val="24"/>
                <w:szCs w:val="22"/>
              </w:rPr>
            </w:pPr>
            <w:r>
              <w:rPr>
                <w:rFonts w:hint="eastAsia" w:ascii="仿宋_GB2312" w:hAnsi="仿宋_GB2312" w:cs="仿宋_GB2312"/>
                <w:color w:val="000000"/>
                <w:kern w:val="0"/>
                <w:sz w:val="24"/>
                <w:szCs w:val="22"/>
              </w:rPr>
              <w:t>市建设局</w:t>
            </w:r>
          </w:p>
        </w:tc>
        <w:tc>
          <w:tcPr>
            <w:tcW w:w="1262" w:type="dxa"/>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5" w:hRule="exact"/>
          <w:jc w:val="center"/>
        </w:trPr>
        <w:tc>
          <w:tcPr>
            <w:tcW w:w="794" w:type="dxa"/>
            <w:vMerge w:val="restart"/>
            <w:tcMar>
              <w:left w:w="108" w:type="dxa"/>
              <w:right w:w="108" w:type="dxa"/>
            </w:tcMar>
            <w:vAlign w:val="center"/>
          </w:tcPr>
          <w:p>
            <w:pPr>
              <w:widowControl/>
              <w:jc w:val="center"/>
              <w:rPr>
                <w:rFonts w:ascii="仿宋_GB2312" w:hAnsi="仿宋_GB2312" w:cs="仿宋_GB2312"/>
                <w:color w:val="000000"/>
                <w:kern w:val="0"/>
                <w:sz w:val="24"/>
              </w:rPr>
            </w:pPr>
            <w:r>
              <w:rPr>
                <w:rFonts w:hint="eastAsia" w:ascii="仿宋_GB2312" w:hAnsi="仿宋_GB2312" w:cs="仿宋_GB2312"/>
                <w:color w:val="000000"/>
                <w:kern w:val="0"/>
                <w:sz w:val="24"/>
              </w:rPr>
              <w:t>调</w:t>
            </w:r>
          </w:p>
          <w:p>
            <w:pPr>
              <w:widowControl/>
              <w:jc w:val="center"/>
              <w:rPr>
                <w:rFonts w:ascii="仿宋_GB2312" w:hAnsi="仿宋_GB2312" w:cs="仿宋_GB2312"/>
                <w:color w:val="000000"/>
                <w:kern w:val="0"/>
                <w:sz w:val="24"/>
              </w:rPr>
            </w:pPr>
            <w:r>
              <w:rPr>
                <w:rFonts w:hint="eastAsia" w:ascii="仿宋_GB2312" w:hAnsi="仿宋_GB2312" w:cs="仿宋_GB2312"/>
                <w:color w:val="000000"/>
                <w:kern w:val="0"/>
                <w:sz w:val="24"/>
              </w:rPr>
              <w:t>研</w:t>
            </w:r>
          </w:p>
          <w:p>
            <w:pPr>
              <w:widowControl/>
              <w:jc w:val="center"/>
              <w:rPr>
                <w:rFonts w:ascii="仿宋_GB2312" w:hAnsi="仿宋_GB2312" w:cs="仿宋_GB2312"/>
                <w:color w:val="000000"/>
                <w:kern w:val="0"/>
                <w:sz w:val="24"/>
              </w:rPr>
            </w:pPr>
            <w:r>
              <w:rPr>
                <w:rFonts w:hint="eastAsia" w:ascii="仿宋_GB2312" w:hAnsi="仿宋_GB2312" w:cs="仿宋_GB2312"/>
                <w:color w:val="000000"/>
                <w:kern w:val="0"/>
                <w:sz w:val="24"/>
              </w:rPr>
              <w:t>项</w:t>
            </w:r>
          </w:p>
          <w:p>
            <w:pPr>
              <w:widowControl/>
              <w:jc w:val="center"/>
              <w:rPr>
                <w:rFonts w:ascii="仿宋_GB2312" w:hAnsi="仿宋_GB2312" w:cs="仿宋_GB2312"/>
                <w:color w:val="000000"/>
                <w:kern w:val="0"/>
                <w:sz w:val="24"/>
              </w:rPr>
            </w:pPr>
            <w:r>
              <w:rPr>
                <w:rFonts w:hint="eastAsia" w:ascii="仿宋_GB2312" w:hAnsi="仿宋_GB2312" w:cs="仿宋_GB2312"/>
                <w:color w:val="000000"/>
                <w:kern w:val="0"/>
                <w:sz w:val="24"/>
              </w:rPr>
              <w:t>目</w:t>
            </w:r>
          </w:p>
        </w:tc>
        <w:tc>
          <w:tcPr>
            <w:tcW w:w="741" w:type="dxa"/>
            <w:tcMar>
              <w:left w:w="108" w:type="dxa"/>
              <w:right w:w="108" w:type="dxa"/>
            </w:tcMar>
            <w:vAlign w:val="center"/>
          </w:tcPr>
          <w:p>
            <w:pPr>
              <w:jc w:val="center"/>
              <w:rPr>
                <w:rFonts w:ascii="仿宋_GB2312" w:hAnsi="仿宋_GB2312" w:cs="仿宋_GB2312"/>
                <w:color w:val="000000"/>
                <w:kern w:val="0"/>
                <w:sz w:val="24"/>
              </w:rPr>
            </w:pPr>
            <w:r>
              <w:rPr>
                <w:rFonts w:hint="eastAsia" w:ascii="仿宋_GB2312" w:hAnsi="仿宋_GB2312" w:cs="仿宋_GB2312"/>
                <w:color w:val="000000"/>
                <w:kern w:val="0"/>
                <w:sz w:val="24"/>
                <w:szCs w:val="22"/>
              </w:rPr>
              <w:t>1</w:t>
            </w:r>
          </w:p>
        </w:tc>
        <w:tc>
          <w:tcPr>
            <w:tcW w:w="4445" w:type="dxa"/>
            <w:tcMar>
              <w:left w:w="108" w:type="dxa"/>
              <w:right w:w="108" w:type="dxa"/>
            </w:tcMar>
            <w:vAlign w:val="center"/>
          </w:tcPr>
          <w:p>
            <w:pPr>
              <w:rPr>
                <w:rFonts w:ascii="仿宋_GB2312" w:hAnsi="仿宋_GB2312" w:cs="仿宋_GB2312"/>
                <w:color w:val="000000"/>
                <w:kern w:val="0"/>
                <w:sz w:val="24"/>
                <w:szCs w:val="22"/>
              </w:rPr>
            </w:pPr>
            <w:r>
              <w:rPr>
                <w:rFonts w:hint="eastAsia" w:ascii="仿宋_GB2312" w:hAnsi="仿宋_GB2312" w:cs="仿宋_GB2312"/>
                <w:color w:val="000000"/>
                <w:kern w:val="0"/>
                <w:sz w:val="24"/>
                <w:szCs w:val="22"/>
              </w:rPr>
              <w:t>厦门市学前教育管理办法</w:t>
            </w:r>
          </w:p>
        </w:tc>
        <w:tc>
          <w:tcPr>
            <w:tcW w:w="1705" w:type="dxa"/>
            <w:tcMar>
              <w:left w:w="108" w:type="dxa"/>
              <w:right w:w="108" w:type="dxa"/>
            </w:tcMar>
            <w:vAlign w:val="center"/>
          </w:tcPr>
          <w:p>
            <w:pPr>
              <w:rPr>
                <w:rFonts w:ascii="仿宋_GB2312" w:hAnsi="仿宋_GB2312" w:cs="仿宋_GB2312"/>
                <w:color w:val="000000"/>
                <w:kern w:val="0"/>
                <w:sz w:val="24"/>
                <w:szCs w:val="22"/>
              </w:rPr>
            </w:pPr>
            <w:r>
              <w:rPr>
                <w:rFonts w:hint="eastAsia" w:ascii="仿宋_GB2312" w:hAnsi="仿宋_GB2312" w:cs="仿宋_GB2312"/>
                <w:color w:val="000000"/>
                <w:kern w:val="0"/>
                <w:sz w:val="24"/>
                <w:szCs w:val="22"/>
              </w:rPr>
              <w:t>市教育局</w:t>
            </w:r>
          </w:p>
        </w:tc>
        <w:tc>
          <w:tcPr>
            <w:tcW w:w="1262" w:type="dxa"/>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5" w:hRule="exact"/>
          <w:jc w:val="center"/>
        </w:trPr>
        <w:tc>
          <w:tcPr>
            <w:tcW w:w="794" w:type="dxa"/>
            <w:vMerge w:val="continue"/>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c>
          <w:tcPr>
            <w:tcW w:w="741" w:type="dxa"/>
            <w:tcMar>
              <w:left w:w="108" w:type="dxa"/>
              <w:right w:w="108" w:type="dxa"/>
            </w:tcMar>
            <w:vAlign w:val="center"/>
          </w:tcPr>
          <w:p>
            <w:pPr>
              <w:jc w:val="center"/>
              <w:rPr>
                <w:rFonts w:ascii="仿宋_GB2312" w:hAnsi="仿宋_GB2312" w:cs="仿宋_GB2312"/>
                <w:color w:val="000000"/>
                <w:kern w:val="0"/>
                <w:sz w:val="24"/>
              </w:rPr>
            </w:pPr>
            <w:r>
              <w:rPr>
                <w:rFonts w:hint="eastAsia" w:ascii="仿宋_GB2312" w:hAnsi="仿宋_GB2312" w:cs="仿宋_GB2312"/>
                <w:color w:val="000000"/>
                <w:kern w:val="0"/>
                <w:sz w:val="24"/>
                <w:szCs w:val="22"/>
              </w:rPr>
              <w:t>2</w:t>
            </w:r>
          </w:p>
        </w:tc>
        <w:tc>
          <w:tcPr>
            <w:tcW w:w="4445" w:type="dxa"/>
            <w:tcMar>
              <w:left w:w="108" w:type="dxa"/>
              <w:right w:w="108" w:type="dxa"/>
            </w:tcMar>
            <w:vAlign w:val="center"/>
          </w:tcPr>
          <w:p>
            <w:pPr>
              <w:rPr>
                <w:rFonts w:ascii="仿宋_GB2312" w:hAnsi="仿宋_GB2312" w:cs="仿宋_GB2312"/>
                <w:color w:val="000000"/>
                <w:kern w:val="0"/>
                <w:sz w:val="24"/>
                <w:szCs w:val="22"/>
              </w:rPr>
            </w:pPr>
            <w:r>
              <w:rPr>
                <w:rFonts w:hint="eastAsia" w:ascii="仿宋_GB2312" w:hAnsi="仿宋_GB2312" w:cs="仿宋_GB2312"/>
                <w:color w:val="000000"/>
                <w:kern w:val="0"/>
                <w:sz w:val="24"/>
                <w:szCs w:val="22"/>
              </w:rPr>
              <w:t>厦门市校企合作促进办法</w:t>
            </w:r>
          </w:p>
        </w:tc>
        <w:tc>
          <w:tcPr>
            <w:tcW w:w="1705" w:type="dxa"/>
            <w:tcMar>
              <w:left w:w="108" w:type="dxa"/>
              <w:right w:w="108" w:type="dxa"/>
            </w:tcMar>
            <w:vAlign w:val="center"/>
          </w:tcPr>
          <w:p>
            <w:pPr>
              <w:rPr>
                <w:rFonts w:ascii="仿宋_GB2312" w:hAnsi="仿宋_GB2312" w:cs="仿宋_GB2312"/>
                <w:color w:val="000000"/>
                <w:kern w:val="0"/>
                <w:sz w:val="24"/>
                <w:szCs w:val="22"/>
              </w:rPr>
            </w:pPr>
            <w:r>
              <w:rPr>
                <w:rFonts w:hint="eastAsia" w:ascii="仿宋_GB2312" w:hAnsi="仿宋_GB2312" w:cs="仿宋_GB2312"/>
                <w:color w:val="000000"/>
                <w:kern w:val="0"/>
                <w:sz w:val="24"/>
                <w:szCs w:val="22"/>
              </w:rPr>
              <w:t>市教育局</w:t>
            </w:r>
          </w:p>
        </w:tc>
        <w:tc>
          <w:tcPr>
            <w:tcW w:w="1262" w:type="dxa"/>
            <w:tcMar>
              <w:left w:w="108" w:type="dxa"/>
              <w:right w:w="108" w:type="dxa"/>
            </w:tcMar>
            <w:vAlign w:val="center"/>
          </w:tcPr>
          <w:p>
            <w:pPr>
              <w:widowControl/>
              <w:spacing w:line="420" w:lineRule="auto"/>
              <w:jc w:val="center"/>
              <w:rPr>
                <w:rFonts w:ascii="仿宋_GB2312" w:hAnsi="仿宋_GB2312" w:cs="仿宋_GB2312"/>
                <w:color w:val="000000"/>
                <w:kern w:val="0"/>
                <w:sz w:val="24"/>
                <w:szCs w:val="24"/>
              </w:rPr>
            </w:pPr>
          </w:p>
        </w:tc>
      </w:tr>
    </w:tbl>
    <w:p>
      <w:pPr>
        <w:pStyle w:val="2"/>
      </w:pPr>
    </w:p>
    <w:p>
      <w:pPr>
        <w:widowControl/>
        <w:shd w:val="clear" w:color="auto" w:fill="FFFFFF"/>
        <w:snapToGrid w:val="0"/>
        <w:spacing w:line="590" w:lineRule="exact"/>
        <w:jc w:val="center"/>
        <w:rPr>
          <w:rFonts w:hint="eastAsia" w:ascii="黑体" w:hAnsi="宋体" w:eastAsia="黑体" w:cs="宋体"/>
          <w:kern w:val="0"/>
          <w:sz w:val="32"/>
          <w:szCs w:val="32"/>
        </w:rPr>
      </w:pPr>
      <w:r>
        <w:rPr>
          <w:rFonts w:hint="eastAsia" w:ascii="黑体" w:hAnsi="宋体" w:eastAsia="黑体" w:cs="宋体"/>
          <w:kern w:val="0"/>
          <w:sz w:val="32"/>
          <w:szCs w:val="32"/>
        </w:rPr>
        <w:t>三、2023年市政府行政执法监督检查计划</w:t>
      </w:r>
    </w:p>
    <w:tbl>
      <w:tblPr>
        <w:tblStyle w:val="15"/>
        <w:tblW w:w="8900"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4308"/>
        <w:gridCol w:w="2038"/>
        <w:gridCol w:w="1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3" w:hRule="atLeast"/>
        </w:trPr>
        <w:tc>
          <w:tcPr>
            <w:tcW w:w="765" w:type="dxa"/>
            <w:vAlign w:val="center"/>
          </w:tcPr>
          <w:p>
            <w:pPr>
              <w:jc w:val="center"/>
              <w:rPr>
                <w:rFonts w:ascii="仿宋_GB2312" w:hAnsi="仿宋_GB2312" w:cs="仿宋_GB2312"/>
                <w:b/>
                <w:bCs/>
                <w:color w:val="000000"/>
                <w:kern w:val="0"/>
                <w:sz w:val="24"/>
                <w:szCs w:val="22"/>
              </w:rPr>
            </w:pPr>
            <w:r>
              <w:rPr>
                <w:rFonts w:hint="eastAsia" w:ascii="仿宋_GB2312" w:hAnsi="仿宋_GB2312" w:cs="仿宋_GB2312"/>
                <w:b/>
                <w:bCs/>
                <w:color w:val="000000"/>
                <w:kern w:val="0"/>
                <w:sz w:val="24"/>
                <w:szCs w:val="22"/>
              </w:rPr>
              <w:t>序号</w:t>
            </w:r>
          </w:p>
        </w:tc>
        <w:tc>
          <w:tcPr>
            <w:tcW w:w="4308" w:type="dxa"/>
            <w:vAlign w:val="center"/>
          </w:tcPr>
          <w:p>
            <w:pPr>
              <w:jc w:val="center"/>
              <w:rPr>
                <w:rFonts w:ascii="仿宋_GB2312" w:hAnsi="仿宋_GB2312" w:cs="仿宋_GB2312"/>
                <w:b/>
                <w:bCs/>
                <w:color w:val="000000"/>
                <w:kern w:val="0"/>
                <w:sz w:val="24"/>
                <w:szCs w:val="22"/>
              </w:rPr>
            </w:pPr>
            <w:r>
              <w:rPr>
                <w:rFonts w:hint="eastAsia" w:ascii="仿宋_GB2312" w:hAnsi="仿宋_GB2312" w:cs="仿宋_GB2312"/>
                <w:b/>
                <w:bCs/>
                <w:color w:val="000000"/>
                <w:kern w:val="0"/>
                <w:sz w:val="24"/>
                <w:szCs w:val="22"/>
              </w:rPr>
              <w:t>监督检查内容</w:t>
            </w:r>
          </w:p>
        </w:tc>
        <w:tc>
          <w:tcPr>
            <w:tcW w:w="2038" w:type="dxa"/>
            <w:vAlign w:val="center"/>
          </w:tcPr>
          <w:p>
            <w:pPr>
              <w:jc w:val="center"/>
              <w:rPr>
                <w:rFonts w:ascii="仿宋_GB2312" w:hAnsi="仿宋_GB2312" w:cs="仿宋_GB2312"/>
                <w:b/>
                <w:bCs/>
                <w:color w:val="000000"/>
                <w:kern w:val="0"/>
                <w:sz w:val="24"/>
                <w:szCs w:val="22"/>
              </w:rPr>
            </w:pPr>
            <w:r>
              <w:rPr>
                <w:rFonts w:hint="eastAsia" w:ascii="仿宋_GB2312" w:hAnsi="仿宋_GB2312" w:cs="仿宋_GB2312"/>
                <w:b/>
                <w:bCs/>
                <w:color w:val="000000"/>
                <w:kern w:val="0"/>
                <w:sz w:val="24"/>
                <w:szCs w:val="22"/>
              </w:rPr>
              <w:t>监督检查对象</w:t>
            </w:r>
          </w:p>
        </w:tc>
        <w:tc>
          <w:tcPr>
            <w:tcW w:w="1789" w:type="dxa"/>
            <w:vAlign w:val="center"/>
          </w:tcPr>
          <w:p>
            <w:pPr>
              <w:jc w:val="center"/>
              <w:rPr>
                <w:rFonts w:ascii="仿宋_GB2312" w:hAnsi="仿宋_GB2312" w:cs="仿宋_GB2312"/>
                <w:b/>
                <w:bCs/>
                <w:color w:val="000000"/>
                <w:kern w:val="0"/>
                <w:sz w:val="24"/>
                <w:szCs w:val="22"/>
              </w:rPr>
            </w:pPr>
            <w:r>
              <w:rPr>
                <w:rFonts w:hint="eastAsia" w:ascii="仿宋_GB2312" w:hAnsi="仿宋_GB2312" w:cs="仿宋_GB2312"/>
                <w:b/>
                <w:bCs/>
                <w:color w:val="000000"/>
                <w:kern w:val="0"/>
                <w:sz w:val="24"/>
                <w:szCs w:val="22"/>
              </w:rPr>
              <w:t>监督检查时间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28" w:hRule="atLeast"/>
        </w:trPr>
        <w:tc>
          <w:tcPr>
            <w:tcW w:w="765" w:type="dxa"/>
            <w:vAlign w:val="center"/>
          </w:tcPr>
          <w:p>
            <w:pPr>
              <w:jc w:val="center"/>
              <w:rPr>
                <w:rFonts w:ascii="仿宋_GB2312" w:hAnsi="仿宋_GB2312" w:cs="仿宋_GB2312"/>
                <w:color w:val="000000"/>
                <w:kern w:val="0"/>
                <w:sz w:val="24"/>
                <w:szCs w:val="22"/>
              </w:rPr>
            </w:pPr>
            <w:r>
              <w:rPr>
                <w:rFonts w:hint="eastAsia" w:ascii="仿宋_GB2312" w:hAnsi="仿宋_GB2312" w:cs="仿宋_GB2312"/>
                <w:color w:val="000000"/>
                <w:kern w:val="0"/>
                <w:sz w:val="24"/>
                <w:szCs w:val="22"/>
              </w:rPr>
              <w:t>1</w:t>
            </w:r>
          </w:p>
        </w:tc>
        <w:tc>
          <w:tcPr>
            <w:tcW w:w="4308" w:type="dxa"/>
            <w:vAlign w:val="center"/>
          </w:tcPr>
          <w:p>
            <w:pPr>
              <w:rPr>
                <w:rFonts w:ascii="仿宋_GB2312" w:hAnsi="仿宋_GB2312" w:cs="仿宋_GB2312"/>
                <w:color w:val="000000"/>
                <w:kern w:val="0"/>
                <w:sz w:val="24"/>
                <w:szCs w:val="22"/>
              </w:rPr>
            </w:pPr>
            <w:r>
              <w:rPr>
                <w:rFonts w:hint="eastAsia" w:ascii="仿宋_GB2312" w:hAnsi="仿宋_GB2312" w:cs="仿宋_GB2312"/>
                <w:color w:val="000000"/>
                <w:kern w:val="0"/>
                <w:sz w:val="24"/>
                <w:szCs w:val="22"/>
              </w:rPr>
              <w:t>《厦门市人民政府办公厅关于做好赋予乡镇人民政府和街道办事处部分行政处罚权有关工作的通知》（厦府办〔2022〕41号）贯彻实施情况。</w:t>
            </w:r>
          </w:p>
        </w:tc>
        <w:tc>
          <w:tcPr>
            <w:tcW w:w="2038" w:type="dxa"/>
            <w:vAlign w:val="center"/>
          </w:tcPr>
          <w:p>
            <w:pPr>
              <w:rPr>
                <w:rFonts w:ascii="仿宋_GB2312" w:hAnsi="仿宋_GB2312" w:cs="仿宋_GB2312"/>
                <w:color w:val="000000"/>
                <w:kern w:val="0"/>
                <w:sz w:val="24"/>
                <w:szCs w:val="22"/>
              </w:rPr>
            </w:pPr>
            <w:r>
              <w:rPr>
                <w:rFonts w:hint="eastAsia" w:ascii="仿宋_GB2312" w:hAnsi="仿宋_GB2312" w:cs="仿宋_GB2312"/>
                <w:color w:val="000000"/>
                <w:kern w:val="0"/>
                <w:sz w:val="24"/>
                <w:szCs w:val="22"/>
              </w:rPr>
              <w:t>各区人民政府，有关镇人民政府和街道办事处</w:t>
            </w:r>
          </w:p>
        </w:tc>
        <w:tc>
          <w:tcPr>
            <w:tcW w:w="1789" w:type="dxa"/>
            <w:vAlign w:val="center"/>
          </w:tcPr>
          <w:p>
            <w:pPr>
              <w:jc w:val="center"/>
              <w:rPr>
                <w:rFonts w:ascii="仿宋_GB2312" w:hAnsi="仿宋_GB2312" w:cs="仿宋_GB2312"/>
                <w:color w:val="000000"/>
                <w:kern w:val="0"/>
                <w:sz w:val="24"/>
                <w:szCs w:val="22"/>
              </w:rPr>
            </w:pPr>
            <w:r>
              <w:rPr>
                <w:rFonts w:hint="eastAsia" w:ascii="仿宋_GB2312" w:hAnsi="仿宋_GB2312" w:cs="仿宋_GB2312"/>
                <w:color w:val="000000"/>
                <w:kern w:val="0"/>
                <w:sz w:val="24"/>
                <w:szCs w:val="22"/>
              </w:rPr>
              <w:t>9月-12月</w:t>
            </w:r>
          </w:p>
        </w:tc>
      </w:tr>
    </w:tbl>
    <w:p>
      <w:pPr>
        <w:snapToGrid w:val="0"/>
        <w:rPr>
          <w:rFonts w:ascii="方正仿宋_GBK" w:eastAsia="方正仿宋_GBK"/>
        </w:rPr>
      </w:pPr>
    </w:p>
    <w:sectPr>
      <w:headerReference r:id="rId4" w:type="first"/>
      <w:footerReference r:id="rId7" w:type="first"/>
      <w:headerReference r:id="rId3" w:type="default"/>
      <w:footerReference r:id="rId5" w:type="default"/>
      <w:footerReference r:id="rId6" w:type="even"/>
      <w:type w:val="continuous"/>
      <w:pgSz w:w="11906" w:h="16838"/>
      <w:pgMar w:top="2098" w:right="1474" w:bottom="1928" w:left="1644" w:header="851" w:footer="1758" w:gutter="0"/>
      <w:pgNumType w:fmt="decimal" w:start="8"/>
      <w:cols w:space="720" w:num="1"/>
      <w:docGrid w:type="linesAndChars" w:linePitch="615" w:charSpace="-167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firstLine="360"/>
    </w:pPr>
    <w:r>
      <w:rPr>
        <w:sz w:val="18"/>
      </w:rPr>
      <w:pict>
        <v:shape id="_x0000_s2049" o:spid="_x0000_s2049"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10"/>
                  <w:ind w:left="160" w:leftChars="50" w:right="160" w:rightChars="50"/>
                  <w:jc w:val="right"/>
                  <w:rPr>
                    <w:rStyle w:val="17"/>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Style w:val="17"/>
                    <w:rFonts w:ascii="宋体" w:hAnsi="宋体" w:eastAsia="宋体"/>
                    <w:sz w:val="28"/>
                    <w:szCs w:val="28"/>
                  </w:rPr>
                  <w:instrText xml:space="preserve">PAGE  </w:instrText>
                </w:r>
                <w:r>
                  <w:rPr>
                    <w:rFonts w:ascii="宋体" w:hAnsi="宋体" w:eastAsia="宋体"/>
                    <w:sz w:val="28"/>
                    <w:szCs w:val="28"/>
                  </w:rPr>
                  <w:fldChar w:fldCharType="separate"/>
                </w:r>
                <w:r>
                  <w:rPr>
                    <w:rStyle w:val="17"/>
                    <w:rFonts w:ascii="宋体" w:hAnsi="宋体" w:eastAsia="宋体"/>
                    <w:sz w:val="28"/>
                    <w:szCs w:val="28"/>
                  </w:rPr>
                  <w:t>2</w:t>
                </w:r>
                <w:r>
                  <w:rPr>
                    <w:rFonts w:ascii="宋体" w:hAnsi="宋体" w:eastAsia="宋体"/>
                    <w:sz w:val="28"/>
                    <w:szCs w:val="28"/>
                  </w:rPr>
                  <w:fldChar w:fldCharType="end"/>
                </w:r>
                <w:r>
                  <w:rPr>
                    <w:rStyle w:val="17"/>
                    <w:rFonts w:hint="eastAsia" w:ascii="宋体" w:hAnsi="宋体" w:eastAsia="宋体"/>
                    <w:sz w:val="28"/>
                    <w:szCs w:val="28"/>
                  </w:rPr>
                  <w:t xml:space="preserve"> </w:t>
                </w:r>
                <w:r>
                  <w:rPr>
                    <w:rFonts w:hint="eastAsia" w:ascii="宋体" w:hAnsi="宋体" w:eastAsia="宋体"/>
                    <w:sz w:val="28"/>
                    <w:szCs w:val="28"/>
                  </w:rPr>
                  <w:t>—</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rPr>
        <w:rStyle w:val="17"/>
      </w:rPr>
    </w:pPr>
    <w:r>
      <w:fldChar w:fldCharType="begin"/>
    </w:r>
    <w:r>
      <w:rPr>
        <w:rStyle w:val="17"/>
      </w:rPr>
      <w:instrText xml:space="preserve">PAGE  </w:instrText>
    </w:r>
    <w:r>
      <w:fldChar w:fldCharType="separate"/>
    </w:r>
    <w:r>
      <w:rPr>
        <w:rStyle w:val="17"/>
      </w:rPr>
      <w:t xml:space="preserve"> </w:t>
    </w:r>
    <w:r>
      <w:fldChar w:fldCharType="end"/>
    </w:r>
  </w:p>
  <w:p>
    <w:pPr>
      <w:pStyle w:val="1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w:pict>
        <v:shape id="_x0000_s2050" o:spid="_x0000_s2050"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0"/>
                  <w:rPr>
                    <w:rFonts w:hint="eastAsia" w:eastAsia="仿宋_GB2312"/>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mirrorMargins w:val="1"/>
  <w:bordersDoNotSurroundHeader w:val="1"/>
  <w:bordersDoNotSurroundFooter w:val="1"/>
  <w:documentProtection w:enforcement="0"/>
  <w:defaultTabStop w:val="425"/>
  <w:drawingGridHorizontalSpacing w:val="156"/>
  <w:drawingGridVerticalSpacing w:val="615"/>
  <w:displayHorizontalDrawingGridEvery w:val="0"/>
  <w:characterSpacingControl w:val="compressPunctuation"/>
  <w:hdrShapeDefaults>
    <o:shapelayout v:ext="edit">
      <o:idmap v:ext="edit" data="2"/>
    </o:shapelayout>
  </w:hdrShapeDefaults>
  <w:compat>
    <w:spaceForUL/>
    <w:balanceSingleByteDoubleByteWidth/>
    <w:doNotLeaveBackslashAlone/>
    <w:ulTrailSpace/>
    <w:doNotExpandShiftReturn/>
    <w:useFELayout/>
    <w:compatSetting w:name="compatibilityMode" w:uri="http://schemas.microsoft.com/office/word" w:val="12"/>
  </w:compat>
  <w:rsids>
    <w:rsidRoot w:val="00561728"/>
    <w:rsid w:val="000012A4"/>
    <w:rsid w:val="000108B5"/>
    <w:rsid w:val="00023FEC"/>
    <w:rsid w:val="00024A90"/>
    <w:rsid w:val="00025282"/>
    <w:rsid w:val="00026DF0"/>
    <w:rsid w:val="00035D04"/>
    <w:rsid w:val="000459A0"/>
    <w:rsid w:val="00050088"/>
    <w:rsid w:val="00050CEF"/>
    <w:rsid w:val="00053905"/>
    <w:rsid w:val="000623F5"/>
    <w:rsid w:val="00062E51"/>
    <w:rsid w:val="000633B6"/>
    <w:rsid w:val="00075919"/>
    <w:rsid w:val="00091257"/>
    <w:rsid w:val="00097EB1"/>
    <w:rsid w:val="000A2C35"/>
    <w:rsid w:val="000A5F15"/>
    <w:rsid w:val="000B0108"/>
    <w:rsid w:val="000B406C"/>
    <w:rsid w:val="000B50F7"/>
    <w:rsid w:val="000C4E46"/>
    <w:rsid w:val="000C5903"/>
    <w:rsid w:val="000C5C4A"/>
    <w:rsid w:val="000D157A"/>
    <w:rsid w:val="000E0174"/>
    <w:rsid w:val="000E5D21"/>
    <w:rsid w:val="000F2661"/>
    <w:rsid w:val="001113FF"/>
    <w:rsid w:val="00121421"/>
    <w:rsid w:val="00124F5A"/>
    <w:rsid w:val="0013514C"/>
    <w:rsid w:val="0014029C"/>
    <w:rsid w:val="00150A20"/>
    <w:rsid w:val="0015619F"/>
    <w:rsid w:val="00160A0C"/>
    <w:rsid w:val="00160D2A"/>
    <w:rsid w:val="001623C6"/>
    <w:rsid w:val="00163A24"/>
    <w:rsid w:val="0016452C"/>
    <w:rsid w:val="00170075"/>
    <w:rsid w:val="00181649"/>
    <w:rsid w:val="0018407F"/>
    <w:rsid w:val="00191D37"/>
    <w:rsid w:val="0019598F"/>
    <w:rsid w:val="001A005B"/>
    <w:rsid w:val="001A0F33"/>
    <w:rsid w:val="001A730C"/>
    <w:rsid w:val="001B203E"/>
    <w:rsid w:val="001B36BA"/>
    <w:rsid w:val="001C11D8"/>
    <w:rsid w:val="001D1E2A"/>
    <w:rsid w:val="001D20FD"/>
    <w:rsid w:val="001D260E"/>
    <w:rsid w:val="001D3A9C"/>
    <w:rsid w:val="001E3465"/>
    <w:rsid w:val="001E7216"/>
    <w:rsid w:val="001F0956"/>
    <w:rsid w:val="001F0DE1"/>
    <w:rsid w:val="001F24B1"/>
    <w:rsid w:val="001F58F7"/>
    <w:rsid w:val="002016BC"/>
    <w:rsid w:val="002106B3"/>
    <w:rsid w:val="00210AA7"/>
    <w:rsid w:val="002310FC"/>
    <w:rsid w:val="00231787"/>
    <w:rsid w:val="0023279C"/>
    <w:rsid w:val="00236BB1"/>
    <w:rsid w:val="0024155B"/>
    <w:rsid w:val="00245B2D"/>
    <w:rsid w:val="00246785"/>
    <w:rsid w:val="00255F12"/>
    <w:rsid w:val="00260465"/>
    <w:rsid w:val="00261F4F"/>
    <w:rsid w:val="002623D1"/>
    <w:rsid w:val="00264BA0"/>
    <w:rsid w:val="00271B9A"/>
    <w:rsid w:val="00275785"/>
    <w:rsid w:val="0027639A"/>
    <w:rsid w:val="002906F4"/>
    <w:rsid w:val="002930E3"/>
    <w:rsid w:val="00294989"/>
    <w:rsid w:val="002B02B7"/>
    <w:rsid w:val="002B3395"/>
    <w:rsid w:val="002B34A9"/>
    <w:rsid w:val="002B7104"/>
    <w:rsid w:val="002C4199"/>
    <w:rsid w:val="002E4317"/>
    <w:rsid w:val="002E7C69"/>
    <w:rsid w:val="002F63A8"/>
    <w:rsid w:val="003065E6"/>
    <w:rsid w:val="00333944"/>
    <w:rsid w:val="00342286"/>
    <w:rsid w:val="003437F6"/>
    <w:rsid w:val="003441A9"/>
    <w:rsid w:val="0034748B"/>
    <w:rsid w:val="00347BC5"/>
    <w:rsid w:val="0035205E"/>
    <w:rsid w:val="0035218D"/>
    <w:rsid w:val="00360EEB"/>
    <w:rsid w:val="00366C92"/>
    <w:rsid w:val="00376176"/>
    <w:rsid w:val="003B5060"/>
    <w:rsid w:val="003B664B"/>
    <w:rsid w:val="003C2F5F"/>
    <w:rsid w:val="003C33B2"/>
    <w:rsid w:val="003C6085"/>
    <w:rsid w:val="003C64F7"/>
    <w:rsid w:val="003D5CDF"/>
    <w:rsid w:val="003E249B"/>
    <w:rsid w:val="003E4A37"/>
    <w:rsid w:val="003E7756"/>
    <w:rsid w:val="003F7A35"/>
    <w:rsid w:val="00402ADC"/>
    <w:rsid w:val="00407BFE"/>
    <w:rsid w:val="004119C9"/>
    <w:rsid w:val="00420313"/>
    <w:rsid w:val="004208DB"/>
    <w:rsid w:val="00427EAB"/>
    <w:rsid w:val="0043143A"/>
    <w:rsid w:val="00440EA2"/>
    <w:rsid w:val="00442915"/>
    <w:rsid w:val="00443798"/>
    <w:rsid w:val="004455B5"/>
    <w:rsid w:val="004470B5"/>
    <w:rsid w:val="0045719B"/>
    <w:rsid w:val="00462C48"/>
    <w:rsid w:val="00476CFF"/>
    <w:rsid w:val="00477163"/>
    <w:rsid w:val="004833BF"/>
    <w:rsid w:val="00490FE1"/>
    <w:rsid w:val="004966F8"/>
    <w:rsid w:val="00496BFB"/>
    <w:rsid w:val="004A0648"/>
    <w:rsid w:val="004A7DB5"/>
    <w:rsid w:val="004B2F78"/>
    <w:rsid w:val="004B5CC2"/>
    <w:rsid w:val="004B6F8D"/>
    <w:rsid w:val="004C23DC"/>
    <w:rsid w:val="004C5E53"/>
    <w:rsid w:val="004D16DE"/>
    <w:rsid w:val="004D7049"/>
    <w:rsid w:val="004E24E0"/>
    <w:rsid w:val="004E4C2C"/>
    <w:rsid w:val="004E70A0"/>
    <w:rsid w:val="004F19B7"/>
    <w:rsid w:val="004F4CE1"/>
    <w:rsid w:val="00506F09"/>
    <w:rsid w:val="00520E5C"/>
    <w:rsid w:val="005324F8"/>
    <w:rsid w:val="00532712"/>
    <w:rsid w:val="00556884"/>
    <w:rsid w:val="00561728"/>
    <w:rsid w:val="00561C8A"/>
    <w:rsid w:val="0056772F"/>
    <w:rsid w:val="00571788"/>
    <w:rsid w:val="005727CA"/>
    <w:rsid w:val="005A27FD"/>
    <w:rsid w:val="005E6FCC"/>
    <w:rsid w:val="005F1963"/>
    <w:rsid w:val="005F6265"/>
    <w:rsid w:val="005F6F78"/>
    <w:rsid w:val="00607CF2"/>
    <w:rsid w:val="00615302"/>
    <w:rsid w:val="00620245"/>
    <w:rsid w:val="006214C7"/>
    <w:rsid w:val="00630D3E"/>
    <w:rsid w:val="00636777"/>
    <w:rsid w:val="00641E08"/>
    <w:rsid w:val="006425EE"/>
    <w:rsid w:val="0064459B"/>
    <w:rsid w:val="00657575"/>
    <w:rsid w:val="006922B0"/>
    <w:rsid w:val="0069437F"/>
    <w:rsid w:val="006956ED"/>
    <w:rsid w:val="00695D4E"/>
    <w:rsid w:val="00696376"/>
    <w:rsid w:val="00696D3E"/>
    <w:rsid w:val="006A47A1"/>
    <w:rsid w:val="006A5396"/>
    <w:rsid w:val="006A6410"/>
    <w:rsid w:val="006B26C1"/>
    <w:rsid w:val="006B47AA"/>
    <w:rsid w:val="006B599C"/>
    <w:rsid w:val="006B5F28"/>
    <w:rsid w:val="006C5CD6"/>
    <w:rsid w:val="006D074D"/>
    <w:rsid w:val="006D232B"/>
    <w:rsid w:val="006D3F34"/>
    <w:rsid w:val="006E4A8E"/>
    <w:rsid w:val="006F29E6"/>
    <w:rsid w:val="006F5E9B"/>
    <w:rsid w:val="006F7711"/>
    <w:rsid w:val="00706640"/>
    <w:rsid w:val="00707126"/>
    <w:rsid w:val="00715297"/>
    <w:rsid w:val="00717FCD"/>
    <w:rsid w:val="00726BC9"/>
    <w:rsid w:val="007319BB"/>
    <w:rsid w:val="007364F3"/>
    <w:rsid w:val="00736557"/>
    <w:rsid w:val="00737ED0"/>
    <w:rsid w:val="00737FCA"/>
    <w:rsid w:val="00750133"/>
    <w:rsid w:val="00752137"/>
    <w:rsid w:val="00753D53"/>
    <w:rsid w:val="007563C5"/>
    <w:rsid w:val="007805F5"/>
    <w:rsid w:val="00782F26"/>
    <w:rsid w:val="00786ADC"/>
    <w:rsid w:val="00792AA4"/>
    <w:rsid w:val="00793FBF"/>
    <w:rsid w:val="007959BB"/>
    <w:rsid w:val="007975D0"/>
    <w:rsid w:val="007A280F"/>
    <w:rsid w:val="007B214D"/>
    <w:rsid w:val="007B59E8"/>
    <w:rsid w:val="007B6B1D"/>
    <w:rsid w:val="007C0527"/>
    <w:rsid w:val="007C26EA"/>
    <w:rsid w:val="007D53BD"/>
    <w:rsid w:val="007E52A8"/>
    <w:rsid w:val="007E58AF"/>
    <w:rsid w:val="007F13C5"/>
    <w:rsid w:val="007F6E51"/>
    <w:rsid w:val="008012F2"/>
    <w:rsid w:val="00802949"/>
    <w:rsid w:val="00821AB6"/>
    <w:rsid w:val="008279CB"/>
    <w:rsid w:val="00845099"/>
    <w:rsid w:val="008472F1"/>
    <w:rsid w:val="00855866"/>
    <w:rsid w:val="00867AA3"/>
    <w:rsid w:val="00874D8E"/>
    <w:rsid w:val="00892560"/>
    <w:rsid w:val="008A167F"/>
    <w:rsid w:val="008A335E"/>
    <w:rsid w:val="008B5A4A"/>
    <w:rsid w:val="008C513B"/>
    <w:rsid w:val="008C5186"/>
    <w:rsid w:val="008C5E7E"/>
    <w:rsid w:val="008D6002"/>
    <w:rsid w:val="008F0906"/>
    <w:rsid w:val="008F1203"/>
    <w:rsid w:val="008F3785"/>
    <w:rsid w:val="00903594"/>
    <w:rsid w:val="00906C87"/>
    <w:rsid w:val="00920F9D"/>
    <w:rsid w:val="009241BB"/>
    <w:rsid w:val="00930AC4"/>
    <w:rsid w:val="0093156C"/>
    <w:rsid w:val="0093370A"/>
    <w:rsid w:val="00945A2F"/>
    <w:rsid w:val="009629A1"/>
    <w:rsid w:val="00963C71"/>
    <w:rsid w:val="00977097"/>
    <w:rsid w:val="00982FCC"/>
    <w:rsid w:val="00984EF4"/>
    <w:rsid w:val="009A0591"/>
    <w:rsid w:val="009B1817"/>
    <w:rsid w:val="009C2471"/>
    <w:rsid w:val="009C37AD"/>
    <w:rsid w:val="009C4906"/>
    <w:rsid w:val="009D045D"/>
    <w:rsid w:val="009D52B8"/>
    <w:rsid w:val="009D5CB5"/>
    <w:rsid w:val="009D62F7"/>
    <w:rsid w:val="009D6A64"/>
    <w:rsid w:val="009F33FB"/>
    <w:rsid w:val="009F6B03"/>
    <w:rsid w:val="00A00DC4"/>
    <w:rsid w:val="00A02691"/>
    <w:rsid w:val="00A10858"/>
    <w:rsid w:val="00A10B28"/>
    <w:rsid w:val="00A1170D"/>
    <w:rsid w:val="00A1326B"/>
    <w:rsid w:val="00A13677"/>
    <w:rsid w:val="00A157C8"/>
    <w:rsid w:val="00A25500"/>
    <w:rsid w:val="00A26204"/>
    <w:rsid w:val="00A37E5D"/>
    <w:rsid w:val="00A37F90"/>
    <w:rsid w:val="00A45027"/>
    <w:rsid w:val="00A509E9"/>
    <w:rsid w:val="00A725ED"/>
    <w:rsid w:val="00A73291"/>
    <w:rsid w:val="00A826EC"/>
    <w:rsid w:val="00A959D2"/>
    <w:rsid w:val="00AA306E"/>
    <w:rsid w:val="00AA6245"/>
    <w:rsid w:val="00AA66C1"/>
    <w:rsid w:val="00AB2278"/>
    <w:rsid w:val="00AB23C8"/>
    <w:rsid w:val="00AB7319"/>
    <w:rsid w:val="00AC0332"/>
    <w:rsid w:val="00AD4F12"/>
    <w:rsid w:val="00AD4F16"/>
    <w:rsid w:val="00AD5506"/>
    <w:rsid w:val="00AD76CA"/>
    <w:rsid w:val="00AE5566"/>
    <w:rsid w:val="00AF1797"/>
    <w:rsid w:val="00AF2AA4"/>
    <w:rsid w:val="00B11F3E"/>
    <w:rsid w:val="00B14A1A"/>
    <w:rsid w:val="00B17AB0"/>
    <w:rsid w:val="00B3454D"/>
    <w:rsid w:val="00B34A42"/>
    <w:rsid w:val="00B35E47"/>
    <w:rsid w:val="00B405F3"/>
    <w:rsid w:val="00B46DD8"/>
    <w:rsid w:val="00B55309"/>
    <w:rsid w:val="00B55691"/>
    <w:rsid w:val="00B566F6"/>
    <w:rsid w:val="00B62C82"/>
    <w:rsid w:val="00B62E95"/>
    <w:rsid w:val="00B65B1C"/>
    <w:rsid w:val="00B82D36"/>
    <w:rsid w:val="00B876C8"/>
    <w:rsid w:val="00B9012A"/>
    <w:rsid w:val="00BA0D40"/>
    <w:rsid w:val="00BA139B"/>
    <w:rsid w:val="00BA5479"/>
    <w:rsid w:val="00BA5F00"/>
    <w:rsid w:val="00BB09FB"/>
    <w:rsid w:val="00BB1C52"/>
    <w:rsid w:val="00BB27BE"/>
    <w:rsid w:val="00BB3E1F"/>
    <w:rsid w:val="00BB43D0"/>
    <w:rsid w:val="00BB6913"/>
    <w:rsid w:val="00BD32D3"/>
    <w:rsid w:val="00BD4F13"/>
    <w:rsid w:val="00BE14D1"/>
    <w:rsid w:val="00BE5402"/>
    <w:rsid w:val="00C0084C"/>
    <w:rsid w:val="00C01CCF"/>
    <w:rsid w:val="00C0527E"/>
    <w:rsid w:val="00C06D41"/>
    <w:rsid w:val="00C22000"/>
    <w:rsid w:val="00C237B1"/>
    <w:rsid w:val="00C24216"/>
    <w:rsid w:val="00C2692C"/>
    <w:rsid w:val="00C36811"/>
    <w:rsid w:val="00C52D70"/>
    <w:rsid w:val="00C569E3"/>
    <w:rsid w:val="00C57B29"/>
    <w:rsid w:val="00C611C0"/>
    <w:rsid w:val="00C618D8"/>
    <w:rsid w:val="00C7126D"/>
    <w:rsid w:val="00C843FF"/>
    <w:rsid w:val="00C85AFA"/>
    <w:rsid w:val="00C86E52"/>
    <w:rsid w:val="00C91F49"/>
    <w:rsid w:val="00C93E6C"/>
    <w:rsid w:val="00C97DDC"/>
    <w:rsid w:val="00CA36D3"/>
    <w:rsid w:val="00CA7593"/>
    <w:rsid w:val="00CB16A2"/>
    <w:rsid w:val="00CC058A"/>
    <w:rsid w:val="00CC09AE"/>
    <w:rsid w:val="00CE46B9"/>
    <w:rsid w:val="00CE565E"/>
    <w:rsid w:val="00CF537F"/>
    <w:rsid w:val="00CF642F"/>
    <w:rsid w:val="00D0393D"/>
    <w:rsid w:val="00D12372"/>
    <w:rsid w:val="00D25469"/>
    <w:rsid w:val="00D31873"/>
    <w:rsid w:val="00D51507"/>
    <w:rsid w:val="00D56E41"/>
    <w:rsid w:val="00D57025"/>
    <w:rsid w:val="00D61C58"/>
    <w:rsid w:val="00D7111F"/>
    <w:rsid w:val="00D942FA"/>
    <w:rsid w:val="00D96F53"/>
    <w:rsid w:val="00DA04E0"/>
    <w:rsid w:val="00DA31E0"/>
    <w:rsid w:val="00DA5B9A"/>
    <w:rsid w:val="00DA6294"/>
    <w:rsid w:val="00DB2CC9"/>
    <w:rsid w:val="00DB349C"/>
    <w:rsid w:val="00DB56EA"/>
    <w:rsid w:val="00DB638D"/>
    <w:rsid w:val="00DC29CB"/>
    <w:rsid w:val="00DC7416"/>
    <w:rsid w:val="00DC7C20"/>
    <w:rsid w:val="00DD7397"/>
    <w:rsid w:val="00DF7C45"/>
    <w:rsid w:val="00E0143A"/>
    <w:rsid w:val="00E045C1"/>
    <w:rsid w:val="00E05289"/>
    <w:rsid w:val="00E16D60"/>
    <w:rsid w:val="00E21721"/>
    <w:rsid w:val="00E22049"/>
    <w:rsid w:val="00E22D9D"/>
    <w:rsid w:val="00E36E36"/>
    <w:rsid w:val="00E43A04"/>
    <w:rsid w:val="00E536D9"/>
    <w:rsid w:val="00E67A4F"/>
    <w:rsid w:val="00E708BD"/>
    <w:rsid w:val="00E71FC8"/>
    <w:rsid w:val="00E75318"/>
    <w:rsid w:val="00E76D3F"/>
    <w:rsid w:val="00E872B6"/>
    <w:rsid w:val="00E90FA8"/>
    <w:rsid w:val="00E94AA8"/>
    <w:rsid w:val="00EA01BB"/>
    <w:rsid w:val="00EA296C"/>
    <w:rsid w:val="00EA4412"/>
    <w:rsid w:val="00EA4F83"/>
    <w:rsid w:val="00EB6A3D"/>
    <w:rsid w:val="00EC3D75"/>
    <w:rsid w:val="00EC3F6E"/>
    <w:rsid w:val="00ED103F"/>
    <w:rsid w:val="00ED490C"/>
    <w:rsid w:val="00EF5D8E"/>
    <w:rsid w:val="00F1479F"/>
    <w:rsid w:val="00F16E37"/>
    <w:rsid w:val="00F231FF"/>
    <w:rsid w:val="00F23E8F"/>
    <w:rsid w:val="00F34F72"/>
    <w:rsid w:val="00F37202"/>
    <w:rsid w:val="00F405A3"/>
    <w:rsid w:val="00F44C10"/>
    <w:rsid w:val="00F46D31"/>
    <w:rsid w:val="00F5104C"/>
    <w:rsid w:val="00F53630"/>
    <w:rsid w:val="00F65454"/>
    <w:rsid w:val="00F757BB"/>
    <w:rsid w:val="00F764F3"/>
    <w:rsid w:val="00F84A8B"/>
    <w:rsid w:val="00F84B09"/>
    <w:rsid w:val="00F91579"/>
    <w:rsid w:val="00F9585C"/>
    <w:rsid w:val="00FA758A"/>
    <w:rsid w:val="00FC0CA0"/>
    <w:rsid w:val="00FD4A80"/>
    <w:rsid w:val="00FD7E33"/>
    <w:rsid w:val="00FF07A7"/>
    <w:rsid w:val="00FF754C"/>
    <w:rsid w:val="00FF7A3C"/>
    <w:rsid w:val="01A60378"/>
    <w:rsid w:val="06BF4B84"/>
    <w:rsid w:val="092315BA"/>
    <w:rsid w:val="0A3D4E1B"/>
    <w:rsid w:val="0AB50D20"/>
    <w:rsid w:val="0EF2740F"/>
    <w:rsid w:val="14C305CC"/>
    <w:rsid w:val="19A17D5A"/>
    <w:rsid w:val="1EFB1189"/>
    <w:rsid w:val="25A776B5"/>
    <w:rsid w:val="29DD73C1"/>
    <w:rsid w:val="2A66686B"/>
    <w:rsid w:val="2AF8648E"/>
    <w:rsid w:val="2BE04D8C"/>
    <w:rsid w:val="2C1736FC"/>
    <w:rsid w:val="2FB747DE"/>
    <w:rsid w:val="30061903"/>
    <w:rsid w:val="3463702C"/>
    <w:rsid w:val="36FD5F8B"/>
    <w:rsid w:val="37113D25"/>
    <w:rsid w:val="3FFFE0E1"/>
    <w:rsid w:val="53DD9CE7"/>
    <w:rsid w:val="56311735"/>
    <w:rsid w:val="5F6AB46D"/>
    <w:rsid w:val="606E487D"/>
    <w:rsid w:val="6569567E"/>
    <w:rsid w:val="660947BB"/>
    <w:rsid w:val="6E9F5ED9"/>
    <w:rsid w:val="74E5438E"/>
    <w:rsid w:val="76EED1EA"/>
    <w:rsid w:val="77EFC460"/>
    <w:rsid w:val="78346090"/>
    <w:rsid w:val="78703CB4"/>
    <w:rsid w:val="7B2303BF"/>
    <w:rsid w:val="7C7F3DB7"/>
    <w:rsid w:val="7CDC246B"/>
    <w:rsid w:val="7CFCD5BF"/>
    <w:rsid w:val="7F2E77BB"/>
    <w:rsid w:val="7FBEB5D3"/>
    <w:rsid w:val="7FDBABD0"/>
    <w:rsid w:val="AFFBA077"/>
    <w:rsid w:val="BA7B23C6"/>
    <w:rsid w:val="CE2F9E59"/>
    <w:rsid w:val="DDADAFF9"/>
    <w:rsid w:val="DDEBD389"/>
    <w:rsid w:val="DFE74A4B"/>
    <w:rsid w:val="EAEE94DA"/>
    <w:rsid w:val="EFFB183E"/>
    <w:rsid w:val="F5B46972"/>
    <w:rsid w:val="F6FFDECA"/>
    <w:rsid w:val="F70B54FE"/>
    <w:rsid w:val="FABF818C"/>
    <w:rsid w:val="FAFFA56A"/>
    <w:rsid w:val="FFC72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paragraph" w:styleId="3">
    <w:name w:val="heading 3"/>
    <w:basedOn w:val="1"/>
    <w:next w:val="1"/>
    <w:qFormat/>
    <w:uiPriority w:val="0"/>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6">
    <w:name w:val="Default Paragraph Font"/>
    <w:semiHidden/>
    <w:unhideWhenUsed/>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1.正文"/>
    <w:basedOn w:val="1"/>
    <w:next w:val="1"/>
    <w:qFormat/>
    <w:uiPriority w:val="0"/>
    <w:rPr>
      <w:rFonts w:eastAsia="宋体"/>
    </w:rPr>
  </w:style>
  <w:style w:type="paragraph" w:styleId="4">
    <w:name w:val="caption"/>
    <w:basedOn w:val="1"/>
    <w:next w:val="1"/>
    <w:qFormat/>
    <w:uiPriority w:val="0"/>
    <w:rPr>
      <w:rFonts w:ascii="Arial" w:hAnsi="Arial" w:eastAsia="黑体" w:cs="Arial"/>
      <w:sz w:val="20"/>
    </w:rPr>
  </w:style>
  <w:style w:type="paragraph" w:styleId="5">
    <w:name w:val="Body Text"/>
    <w:basedOn w:val="1"/>
    <w:uiPriority w:val="0"/>
    <w:pPr>
      <w:spacing w:after="120"/>
    </w:pPr>
  </w:style>
  <w:style w:type="paragraph" w:styleId="6">
    <w:name w:val="Body Text Indent"/>
    <w:basedOn w:val="1"/>
    <w:uiPriority w:val="0"/>
    <w:pPr>
      <w:spacing w:after="120"/>
      <w:ind w:left="420" w:leftChars="200"/>
    </w:pPr>
    <w:rPr>
      <w:rFonts w:eastAsia="宋体"/>
      <w:sz w:val="21"/>
      <w:szCs w:val="24"/>
    </w:rPr>
  </w:style>
  <w:style w:type="paragraph" w:styleId="7">
    <w:name w:val="Date"/>
    <w:basedOn w:val="1"/>
    <w:next w:val="1"/>
    <w:uiPriority w:val="0"/>
    <w:rPr>
      <w:rFonts w:ascii="仿宋_GB2312"/>
    </w:rPr>
  </w:style>
  <w:style w:type="paragraph" w:styleId="8">
    <w:name w:val="Body Text Indent 2"/>
    <w:basedOn w:val="1"/>
    <w:uiPriority w:val="0"/>
    <w:pPr>
      <w:spacing w:after="120" w:line="480" w:lineRule="auto"/>
      <w:ind w:left="420" w:leftChars="200"/>
    </w:pPr>
    <w:rPr>
      <w:rFonts w:eastAsia="宋体"/>
      <w:sz w:val="21"/>
      <w:szCs w:val="24"/>
    </w:rPr>
  </w:style>
  <w:style w:type="paragraph" w:styleId="9">
    <w:name w:val="Balloon Text"/>
    <w:basedOn w:val="1"/>
    <w:semiHidden/>
    <w:uiPriority w:val="0"/>
    <w:rPr>
      <w:sz w:val="18"/>
      <w:szCs w:val="18"/>
    </w:rPr>
  </w:style>
  <w:style w:type="paragraph" w:styleId="10">
    <w:name w:val="footer"/>
    <w:basedOn w:val="1"/>
    <w:uiPriority w:val="0"/>
    <w:pPr>
      <w:tabs>
        <w:tab w:val="center" w:pos="4153"/>
        <w:tab w:val="right" w:pos="8306"/>
      </w:tabs>
      <w:snapToGrid w:val="0"/>
      <w:jc w:val="left"/>
    </w:pPr>
    <w:rPr>
      <w:sz w:val="18"/>
    </w:rPr>
  </w:style>
  <w:style w:type="paragraph" w:styleId="11">
    <w:name w:val="header"/>
    <w:basedOn w:val="1"/>
    <w:uiPriority w:val="0"/>
    <w:pPr>
      <w:pBdr>
        <w:bottom w:val="single" w:color="auto" w:sz="6" w:space="1"/>
      </w:pBdr>
      <w:tabs>
        <w:tab w:val="center" w:pos="4153"/>
        <w:tab w:val="right" w:pos="8306"/>
      </w:tabs>
      <w:snapToGrid w:val="0"/>
      <w:jc w:val="center"/>
    </w:pPr>
    <w:rPr>
      <w:sz w:val="18"/>
    </w:rPr>
  </w:style>
  <w:style w:type="paragraph" w:styleId="12">
    <w:name w:val="Body Text Indent 3"/>
    <w:basedOn w:val="1"/>
    <w:uiPriority w:val="0"/>
    <w:pPr>
      <w:tabs>
        <w:tab w:val="left" w:pos="5400"/>
      </w:tabs>
      <w:ind w:firstLine="640" w:firstLineChars="200"/>
    </w:pPr>
    <w:rPr>
      <w:rFonts w:ascii="仿宋_GB2312"/>
      <w:szCs w:val="24"/>
    </w:rPr>
  </w:style>
  <w:style w:type="paragraph" w:styleId="13">
    <w:name w:val="Normal (Web)"/>
    <w:basedOn w:val="1"/>
    <w:qFormat/>
    <w:uiPriority w:val="0"/>
    <w:pPr>
      <w:jc w:val="left"/>
    </w:pPr>
    <w:rPr>
      <w:kern w:val="0"/>
      <w:sz w:val="24"/>
    </w:rPr>
  </w:style>
  <w:style w:type="table" w:styleId="15">
    <w:name w:val="Table Grid"/>
    <w:basedOn w:val="1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7">
    <w:name w:val="page number"/>
    <w:basedOn w:val="16"/>
    <w:uiPriority w:val="0"/>
  </w:style>
  <w:style w:type="character" w:styleId="18">
    <w:name w:val="Hyperlink"/>
    <w:basedOn w:val="16"/>
    <w:uiPriority w:val="0"/>
    <w:rPr>
      <w:color w:val="0000FF"/>
      <w:u w:val="single"/>
    </w:rPr>
  </w:style>
  <w:style w:type="paragraph" w:customStyle="1" w:styleId="19">
    <w:name w:val="Char"/>
    <w:basedOn w:val="1"/>
    <w:uiPriority w:val="0"/>
    <w:pPr>
      <w:tabs>
        <w:tab w:val="left" w:pos="360"/>
      </w:tabs>
    </w:pPr>
    <w:rPr>
      <w:rFonts w:eastAsia="宋体"/>
      <w:sz w:val="24"/>
      <w:szCs w:val="30"/>
    </w:rPr>
  </w:style>
  <w:style w:type="paragraph" w:customStyle="1" w:styleId="20">
    <w:name w:val="Char Char Char Char Char Char"/>
    <w:basedOn w:val="1"/>
    <w:uiPriority w:val="0"/>
    <w:rPr>
      <w:rFonts w:eastAsia="宋体"/>
      <w:sz w:val="21"/>
      <w:szCs w:val="24"/>
    </w:rPr>
  </w:style>
  <w:style w:type="paragraph" w:customStyle="1" w:styleId="21">
    <w:name w:val="Char Char Char Char"/>
    <w:basedOn w:val="1"/>
    <w:uiPriority w:val="0"/>
    <w:pPr>
      <w:widowControl/>
      <w:spacing w:after="160" w:line="240" w:lineRule="exact"/>
      <w:jc w:val="left"/>
    </w:pPr>
    <w:rPr>
      <w:rFonts w:ascii="Verdana" w:hAnsi="Verdana"/>
      <w:kern w:val="0"/>
      <w:sz w:val="24"/>
      <w:lang w:eastAsia="en-US"/>
    </w:rPr>
  </w:style>
  <w:style w:type="paragraph" w:customStyle="1" w:styleId="22">
    <w:name w:val="Char1"/>
    <w:basedOn w:val="1"/>
    <w:uiPriority w:val="0"/>
    <w:rPr>
      <w:rFonts w:ascii="Verdana" w:hAnsi="Verdana"/>
      <w:kern w:val="0"/>
      <w:sz w:val="24"/>
      <w:lang w:eastAsia="en-U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281</Words>
  <Characters>1604</Characters>
  <Lines>13</Lines>
  <Paragraphs>3</Paragraphs>
  <TotalTime>7</TotalTime>
  <ScaleCrop>false</ScaleCrop>
  <LinksUpToDate>false</LinksUpToDate>
  <CharactersWithSpaces>1882</CharactersWithSpaces>
  <Application>WPS Office_11.8.6.8697_F1E327BC-269C-435d-A152-05C5408002CA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2023-04-17T11:28:00Z</dcterms:created>
  <dc:creator>微软用户</dc:creator>
  <cp:lastModifiedBy>Administrator</cp:lastModifiedBy>
  <cp:lastPrinted>2023-04-17T01:19:00Z</cp:lastPrinted>
  <dcterms:modified xsi:type="dcterms:W3CDTF">2023-04-25T07:33:05Z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2052-11.8.6.8697</vt:lpwstr>
  </property>
</Properties>
</file>