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after="120" w:line="288" w:lineRule="auto"/>
        <w:ind w:left="0" w:firstLine="0"/>
        <w:jc w:val="left"/>
        <w:rPr>
          <w:rFonts w:hint="default" w:eastAsiaTheme="minorEastAsia"/>
          <w:lang w:val="en-US" w:eastAsia="zh-CN"/>
        </w:rPr>
      </w:pPr>
      <w:r>
        <w:rPr>
          <w:rFonts w:hint="eastAsia"/>
          <w:lang w:val="en-US" w:eastAsia="zh-CN"/>
        </w:rPr>
        <w:t>附件3</w:t>
      </w:r>
    </w:p>
    <w:p>
      <w:pPr>
        <w:spacing w:before="120" w:after="120" w:line="288" w:lineRule="auto"/>
        <w:ind w:left="0" w:firstLine="0"/>
        <w:jc w:val="left"/>
        <w:rPr>
          <w:sz w:val="44"/>
          <w:szCs w:val="44"/>
        </w:rPr>
      </w:pPr>
    </w:p>
    <w:p>
      <w:pPr>
        <w:spacing w:before="120" w:after="120" w:line="288" w:lineRule="auto"/>
        <w:ind w:left="0" w:firstLine="0"/>
        <w:jc w:val="center"/>
        <w:rPr>
          <w:rFonts w:hint="eastAsia" w:ascii="Arial" w:hAnsi="Arial" w:eastAsia="等线" w:cs="Arial"/>
          <w:b/>
          <w:color w:val="1F2329"/>
          <w:sz w:val="44"/>
          <w:szCs w:val="44"/>
          <w:lang w:val="en-US" w:eastAsia="zh-CN"/>
        </w:rPr>
      </w:pPr>
      <w:r>
        <w:rPr>
          <w:rFonts w:hint="eastAsia" w:ascii="Arial" w:hAnsi="Arial" w:eastAsia="等线" w:cs="Arial"/>
          <w:b/>
          <w:color w:val="1F2329"/>
          <w:sz w:val="44"/>
          <w:szCs w:val="44"/>
          <w:lang w:val="en-US" w:eastAsia="zh-CN"/>
        </w:rPr>
        <w:t>黑龙江省</w:t>
      </w:r>
      <w:r>
        <w:rPr>
          <w:rFonts w:ascii="Arial" w:hAnsi="Arial" w:eastAsia="等线" w:cs="Arial"/>
          <w:b/>
          <w:color w:val="1F2329"/>
          <w:sz w:val="44"/>
          <w:szCs w:val="44"/>
        </w:rPr>
        <w:t>政府采购</w:t>
      </w:r>
      <w:r>
        <w:rPr>
          <w:rFonts w:hint="eastAsia" w:ascii="Arial" w:hAnsi="Arial" w:eastAsia="等线" w:cs="Arial"/>
          <w:b/>
          <w:color w:val="1F2329"/>
          <w:sz w:val="44"/>
          <w:szCs w:val="44"/>
          <w:lang w:val="en-US" w:eastAsia="zh-CN"/>
        </w:rPr>
        <w:t>网</w:t>
      </w:r>
    </w:p>
    <w:p>
      <w:pPr>
        <w:spacing w:before="120" w:after="120" w:line="288" w:lineRule="auto"/>
        <w:ind w:left="0" w:firstLine="0"/>
        <w:jc w:val="center"/>
        <w:rPr>
          <w:sz w:val="44"/>
          <w:szCs w:val="44"/>
        </w:rPr>
      </w:pPr>
      <w:r>
        <w:rPr>
          <w:rFonts w:ascii="Arial" w:hAnsi="Arial" w:eastAsia="等线" w:cs="Arial"/>
          <w:b/>
          <w:color w:val="1F2329"/>
          <w:sz w:val="44"/>
          <w:szCs w:val="44"/>
        </w:rPr>
        <w:t>履约保函服务技术规范</w:t>
      </w:r>
    </w:p>
    <w:p>
      <w:pPr>
        <w:spacing w:before="120" w:after="120" w:line="288" w:lineRule="auto"/>
        <w:ind w:left="0" w:firstLine="0"/>
        <w:jc w:val="center"/>
        <w:rPr>
          <w:sz w:val="44"/>
          <w:szCs w:val="44"/>
        </w:rPr>
      </w:pPr>
      <w:r>
        <w:rPr>
          <w:rFonts w:ascii="Arial" w:hAnsi="Arial" w:eastAsia="等线" w:cs="Arial"/>
          <w:b/>
          <w:color w:val="1F2329"/>
          <w:sz w:val="44"/>
          <w:szCs w:val="44"/>
        </w:rPr>
        <w:t>V1.0.5.5</w:t>
      </w:r>
    </w:p>
    <w:p>
      <w:pPr>
        <w:spacing w:before="120" w:after="120" w:line="288" w:lineRule="auto"/>
        <w:ind w:left="0" w:firstLine="0"/>
        <w:jc w:val="left"/>
        <w:rPr>
          <w:sz w:val="44"/>
          <w:szCs w:val="44"/>
        </w:rPr>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center"/>
      </w:pPr>
      <w:r>
        <w:rPr>
          <w:rFonts w:ascii="Arial" w:hAnsi="Arial" w:eastAsia="等线" w:cs="Arial"/>
          <w:color w:val="1F2329"/>
          <w:sz w:val="22"/>
        </w:rPr>
        <w:t>2023年6月</w:t>
      </w:r>
    </w:p>
    <w:p>
      <w:pPr>
        <w:pBdr>
          <w:bottom w:val="single" w:color="DEE0E3" w:sz="2" w:space="0"/>
          <w:between w:val="single" w:color="DEE0E3" w:sz="2" w:space="0"/>
        </w:pBdr>
        <w:spacing w:before="120" w:after="120" w:line="288" w:lineRule="auto"/>
        <w:ind w:left="0"/>
      </w:pPr>
    </w:p>
    <w:p>
      <w:pPr>
        <w:spacing w:before="120" w:after="120" w:line="288" w:lineRule="auto"/>
        <w:ind w:left="0" w:firstLine="0"/>
        <w:jc w:val="center"/>
      </w:pPr>
      <w:r>
        <w:rPr>
          <w:rFonts w:ascii="Arial" w:hAnsi="Arial" w:eastAsia="等线" w:cs="Arial"/>
          <w:color w:val="1F2329"/>
          <w:sz w:val="22"/>
        </w:rPr>
        <w:t>修订记录</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2760"/>
        <w:gridCol w:w="2760"/>
        <w:gridCol w:w="276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时间</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版本</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b/>
                <w:color w:val="1F2329"/>
                <w:sz w:val="22"/>
              </w:rPr>
              <w:t>内容</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2022.06.10</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初始版本</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2022.06.10</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1.0.1</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新增保函失效通知、保函注销结果推送</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2022.09.20</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1.0.2</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文档目录信息更新</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2022.11.17</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1.0.3</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保函申请状态接口描述调整</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2023.02.24</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1.0.4</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保函期限字段名调整</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2023.05.04</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1.0.5</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新增订单退保、取消申请</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2023.05.23</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1.0.5.2</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保函申请新增担保起止日期</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2023.06.09</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1.0.5.3</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接口字段说明勘误</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2023.06.12</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1.0.5.4</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调整履约保函业务流程</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2023.07.31</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1.0.5.5</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调整保函申请字段必填描述</w:t>
            </w:r>
          </w:p>
        </w:tc>
      </w:tr>
    </w:tbl>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center"/>
      </w:pPr>
      <w:r>
        <w:rPr>
          <w:rFonts w:ascii="Arial" w:hAnsi="Arial" w:eastAsia="等线" w:cs="Arial"/>
          <w:b/>
          <w:color w:val="1F2329"/>
          <w:sz w:val="22"/>
        </w:rPr>
        <w:t>目录</w:t>
      </w:r>
    </w:p>
    <w:p>
      <w:pPr>
        <w:spacing w:before="120" w:after="120" w:line="288" w:lineRule="auto"/>
        <w:ind w:left="0" w:firstLine="0"/>
        <w:jc w:val="left"/>
      </w:pPr>
      <w:r>
        <w:rPr>
          <w:rFonts w:ascii="Arial" w:hAnsi="Arial" w:eastAsia="等线" w:cs="Arial"/>
          <w:color w:val="1F2329"/>
          <w:sz w:val="22"/>
        </w:rPr>
        <w:t>1 背景- 1 -</w:t>
      </w:r>
    </w:p>
    <w:p>
      <w:pPr>
        <w:spacing w:before="120" w:after="120" w:line="288" w:lineRule="auto"/>
        <w:ind w:left="0" w:firstLine="0"/>
        <w:jc w:val="left"/>
      </w:pPr>
      <w:r>
        <w:rPr>
          <w:rFonts w:ascii="Arial" w:hAnsi="Arial" w:eastAsia="等线" w:cs="Arial"/>
          <w:color w:val="1F2329"/>
          <w:sz w:val="22"/>
        </w:rPr>
        <w:t>2 意义- 1 -</w:t>
      </w:r>
    </w:p>
    <w:p>
      <w:pPr>
        <w:spacing w:before="120" w:after="120" w:line="288" w:lineRule="auto"/>
        <w:ind w:left="0" w:firstLine="0"/>
        <w:jc w:val="left"/>
      </w:pPr>
      <w:r>
        <w:rPr>
          <w:rFonts w:ascii="Arial" w:hAnsi="Arial" w:eastAsia="等线" w:cs="Arial"/>
          <w:color w:val="1F2329"/>
          <w:sz w:val="22"/>
        </w:rPr>
        <w:t>3 应用范围- 1 -</w:t>
      </w:r>
    </w:p>
    <w:p>
      <w:pPr>
        <w:spacing w:before="120" w:after="120" w:line="288" w:lineRule="auto"/>
        <w:ind w:left="0" w:firstLine="0"/>
        <w:jc w:val="left"/>
      </w:pPr>
      <w:r>
        <w:rPr>
          <w:rFonts w:ascii="Arial" w:hAnsi="Arial" w:eastAsia="等线" w:cs="Arial"/>
          <w:color w:val="1F2329"/>
          <w:sz w:val="22"/>
        </w:rPr>
        <w:t>4 规范性引用文件- 1 -</w:t>
      </w:r>
    </w:p>
    <w:p>
      <w:pPr>
        <w:spacing w:before="120" w:after="120" w:line="288" w:lineRule="auto"/>
        <w:ind w:left="0" w:firstLine="0"/>
        <w:jc w:val="left"/>
      </w:pPr>
      <w:r>
        <w:rPr>
          <w:rFonts w:ascii="Arial" w:hAnsi="Arial" w:eastAsia="等线" w:cs="Arial"/>
          <w:color w:val="1F2329"/>
          <w:sz w:val="22"/>
        </w:rPr>
        <w:t>5 术语和定义- 1 -</w:t>
      </w:r>
    </w:p>
    <w:p>
      <w:pPr>
        <w:spacing w:before="120" w:after="120" w:line="288" w:lineRule="auto"/>
        <w:ind w:left="0" w:firstLine="0"/>
        <w:jc w:val="left"/>
      </w:pPr>
      <w:r>
        <w:rPr>
          <w:rFonts w:ascii="Arial" w:hAnsi="Arial" w:eastAsia="等线" w:cs="Arial"/>
          <w:color w:val="1F2329"/>
          <w:sz w:val="22"/>
        </w:rPr>
        <w:t>6 应用场景- 2 -</w:t>
      </w:r>
    </w:p>
    <w:p>
      <w:pPr>
        <w:spacing w:before="120" w:after="120" w:line="288" w:lineRule="auto"/>
        <w:ind w:left="0" w:firstLine="0"/>
        <w:jc w:val="left"/>
      </w:pPr>
      <w:r>
        <w:rPr>
          <w:rFonts w:ascii="Arial" w:hAnsi="Arial" w:eastAsia="等线" w:cs="Arial"/>
          <w:color w:val="1F2329"/>
          <w:sz w:val="22"/>
        </w:rPr>
        <w:t>7 架构及流程规范- 2 -</w:t>
      </w:r>
    </w:p>
    <w:p>
      <w:pPr>
        <w:spacing w:before="120" w:after="120" w:line="288" w:lineRule="auto"/>
        <w:ind w:left="0" w:firstLine="0"/>
        <w:jc w:val="left"/>
      </w:pPr>
      <w:r>
        <w:rPr>
          <w:rFonts w:ascii="Arial" w:hAnsi="Arial" w:eastAsia="等线" w:cs="Arial"/>
          <w:color w:val="1F2329"/>
          <w:sz w:val="22"/>
        </w:rPr>
        <w:t>7.1 总体组成说明- 2 -</w:t>
      </w:r>
    </w:p>
    <w:p>
      <w:pPr>
        <w:spacing w:before="120" w:after="120" w:line="288" w:lineRule="auto"/>
        <w:ind w:left="0" w:firstLine="0"/>
        <w:jc w:val="left"/>
      </w:pPr>
      <w:r>
        <w:rPr>
          <w:rFonts w:ascii="Arial" w:hAnsi="Arial" w:eastAsia="等线" w:cs="Arial"/>
          <w:color w:val="1F2329"/>
          <w:sz w:val="22"/>
        </w:rPr>
        <w:t>8 履约保函业务流程- 3 -</w:t>
      </w:r>
    </w:p>
    <w:p>
      <w:pPr>
        <w:spacing w:before="120" w:after="120" w:line="288" w:lineRule="auto"/>
        <w:ind w:left="0" w:firstLine="0"/>
        <w:jc w:val="left"/>
      </w:pPr>
      <w:r>
        <w:rPr>
          <w:rFonts w:ascii="Arial" w:hAnsi="Arial" w:eastAsia="等线" w:cs="Arial"/>
          <w:color w:val="1F2329"/>
          <w:sz w:val="22"/>
        </w:rPr>
        <w:t>9 数据规范- 6 -</w:t>
      </w:r>
    </w:p>
    <w:p>
      <w:pPr>
        <w:spacing w:before="120" w:after="120" w:line="288" w:lineRule="auto"/>
        <w:ind w:left="0" w:firstLine="0"/>
        <w:jc w:val="left"/>
      </w:pPr>
      <w:r>
        <w:rPr>
          <w:rFonts w:ascii="Arial" w:hAnsi="Arial" w:eastAsia="等线" w:cs="Arial"/>
          <w:color w:val="1F2329"/>
          <w:sz w:val="22"/>
        </w:rPr>
        <w:t>9.1 传输规则- 6 -</w:t>
      </w:r>
    </w:p>
    <w:p>
      <w:pPr>
        <w:spacing w:before="120" w:after="120" w:line="288" w:lineRule="auto"/>
        <w:ind w:left="0" w:firstLine="0"/>
        <w:jc w:val="left"/>
      </w:pPr>
      <w:r>
        <w:rPr>
          <w:rFonts w:ascii="Arial" w:hAnsi="Arial" w:eastAsia="等线" w:cs="Arial"/>
          <w:color w:val="1F2329"/>
          <w:sz w:val="22"/>
        </w:rPr>
        <w:t>9.1.1 通讯方式- 6 -</w:t>
      </w:r>
    </w:p>
    <w:p>
      <w:pPr>
        <w:spacing w:before="120" w:after="120" w:line="288" w:lineRule="auto"/>
        <w:ind w:left="0" w:firstLine="0"/>
        <w:jc w:val="left"/>
      </w:pPr>
      <w:r>
        <w:rPr>
          <w:rFonts w:ascii="Arial" w:hAnsi="Arial" w:eastAsia="等线" w:cs="Arial"/>
          <w:color w:val="1F2329"/>
          <w:sz w:val="22"/>
        </w:rPr>
        <w:t>9.1.2 编码方式- 7 -</w:t>
      </w:r>
    </w:p>
    <w:p>
      <w:pPr>
        <w:spacing w:before="120" w:after="120" w:line="288" w:lineRule="auto"/>
        <w:ind w:left="0" w:firstLine="0"/>
        <w:jc w:val="left"/>
      </w:pPr>
      <w:r>
        <w:rPr>
          <w:rFonts w:ascii="Arial" w:hAnsi="Arial" w:eastAsia="等线" w:cs="Arial"/>
          <w:color w:val="1F2329"/>
          <w:sz w:val="22"/>
        </w:rPr>
        <w:t>9.2 报文格式- 7 -</w:t>
      </w:r>
    </w:p>
    <w:p>
      <w:pPr>
        <w:spacing w:before="120" w:after="120" w:line="288" w:lineRule="auto"/>
        <w:ind w:left="0" w:firstLine="0"/>
        <w:jc w:val="left"/>
      </w:pPr>
      <w:r>
        <w:rPr>
          <w:rFonts w:ascii="Arial" w:hAnsi="Arial" w:eastAsia="等线" w:cs="Arial"/>
          <w:color w:val="1F2329"/>
          <w:sz w:val="22"/>
        </w:rPr>
        <w:t>9.2.1 请求报文说明- 7 -</w:t>
      </w:r>
    </w:p>
    <w:p>
      <w:pPr>
        <w:spacing w:before="120" w:after="120" w:line="288" w:lineRule="auto"/>
        <w:ind w:left="0" w:firstLine="0"/>
        <w:jc w:val="left"/>
      </w:pPr>
      <w:r>
        <w:rPr>
          <w:rFonts w:ascii="Arial" w:hAnsi="Arial" w:eastAsia="等线" w:cs="Arial"/>
          <w:color w:val="1F2329"/>
          <w:sz w:val="22"/>
        </w:rPr>
        <w:t>9.2.2 响应报文说明- 7 -</w:t>
      </w:r>
    </w:p>
    <w:p>
      <w:pPr>
        <w:spacing w:before="120" w:after="120" w:line="288" w:lineRule="auto"/>
        <w:ind w:left="0" w:firstLine="0"/>
        <w:jc w:val="left"/>
      </w:pPr>
      <w:r>
        <w:rPr>
          <w:rFonts w:ascii="Arial" w:hAnsi="Arial" w:eastAsia="等线" w:cs="Arial"/>
          <w:color w:val="1F2329"/>
          <w:sz w:val="22"/>
        </w:rPr>
        <w:t>9.3 接口安全- 8 -</w:t>
      </w:r>
    </w:p>
    <w:p>
      <w:pPr>
        <w:spacing w:before="120" w:after="120" w:line="288" w:lineRule="auto"/>
        <w:ind w:left="0" w:firstLine="0"/>
        <w:jc w:val="left"/>
      </w:pPr>
      <w:r>
        <w:rPr>
          <w:rFonts w:ascii="Arial" w:hAnsi="Arial" w:eastAsia="等线" w:cs="Arial"/>
          <w:color w:val="1F2329"/>
          <w:sz w:val="22"/>
        </w:rPr>
        <w:t>9.3.1 报文加密方式- 8 -</w:t>
      </w:r>
    </w:p>
    <w:p>
      <w:pPr>
        <w:spacing w:before="120" w:after="120" w:line="288" w:lineRule="auto"/>
        <w:ind w:left="0" w:firstLine="0"/>
        <w:jc w:val="left"/>
      </w:pPr>
      <w:r>
        <w:rPr>
          <w:rFonts w:ascii="Arial" w:hAnsi="Arial" w:eastAsia="等线" w:cs="Arial"/>
          <w:color w:val="1F2329"/>
          <w:sz w:val="22"/>
        </w:rPr>
        <w:t>9.3.2 报文签名方式- 8 -</w:t>
      </w:r>
    </w:p>
    <w:p>
      <w:pPr>
        <w:spacing w:before="120" w:after="120" w:line="288" w:lineRule="auto"/>
        <w:ind w:left="0" w:firstLine="0"/>
        <w:jc w:val="left"/>
      </w:pPr>
      <w:r>
        <w:rPr>
          <w:rFonts w:ascii="Arial" w:hAnsi="Arial" w:eastAsia="等线" w:cs="Arial"/>
          <w:color w:val="1F2329"/>
          <w:sz w:val="22"/>
        </w:rPr>
        <w:t>9.3.3 数字信封- 8 -</w:t>
      </w:r>
    </w:p>
    <w:p>
      <w:pPr>
        <w:spacing w:before="120" w:after="120" w:line="288" w:lineRule="auto"/>
        <w:ind w:left="0" w:firstLine="0"/>
        <w:jc w:val="left"/>
      </w:pPr>
      <w:r>
        <w:rPr>
          <w:rFonts w:ascii="Arial" w:hAnsi="Arial" w:eastAsia="等线" w:cs="Arial"/>
          <w:color w:val="1F2329"/>
          <w:sz w:val="22"/>
        </w:rPr>
        <w:t>10 信息接口规范- 9 -</w:t>
      </w:r>
    </w:p>
    <w:p>
      <w:pPr>
        <w:spacing w:before="120" w:after="120" w:line="288" w:lineRule="auto"/>
        <w:ind w:left="0" w:firstLine="0"/>
        <w:jc w:val="left"/>
      </w:pPr>
      <w:r>
        <w:rPr>
          <w:rFonts w:ascii="Arial" w:hAnsi="Arial" w:eastAsia="等线" w:cs="Arial"/>
          <w:color w:val="1F2329"/>
          <w:sz w:val="22"/>
        </w:rPr>
        <w:t>10.1 提交保函申请信息- 9 -</w:t>
      </w:r>
    </w:p>
    <w:p>
      <w:pPr>
        <w:spacing w:before="120" w:after="120" w:line="288" w:lineRule="auto"/>
        <w:ind w:left="0" w:firstLine="0"/>
        <w:jc w:val="left"/>
      </w:pPr>
      <w:r>
        <w:rPr>
          <w:rFonts w:ascii="Arial" w:hAnsi="Arial" w:eastAsia="等线" w:cs="Arial"/>
          <w:color w:val="1F2329"/>
          <w:sz w:val="22"/>
        </w:rPr>
        <w:t>10.2 保函申请状态通知- 12 -</w:t>
      </w:r>
    </w:p>
    <w:p>
      <w:pPr>
        <w:spacing w:before="120" w:after="120" w:line="288" w:lineRule="auto"/>
        <w:ind w:left="0" w:firstLine="0"/>
        <w:jc w:val="left"/>
      </w:pPr>
      <w:r>
        <w:rPr>
          <w:rFonts w:ascii="Arial" w:hAnsi="Arial" w:eastAsia="等线" w:cs="Arial"/>
          <w:color w:val="1F2329"/>
          <w:sz w:val="22"/>
        </w:rPr>
        <w:t>10.3 保函文件查询- 14 -</w:t>
      </w:r>
    </w:p>
    <w:p>
      <w:pPr>
        <w:spacing w:before="120" w:after="120" w:line="288" w:lineRule="auto"/>
        <w:ind w:left="0" w:firstLine="0"/>
        <w:jc w:val="left"/>
      </w:pPr>
      <w:r>
        <w:rPr>
          <w:rFonts w:ascii="Arial" w:hAnsi="Arial" w:eastAsia="等线" w:cs="Arial"/>
          <w:color w:val="1F2329"/>
          <w:sz w:val="22"/>
        </w:rPr>
        <w:t>10.4 保函验真- 16 -</w:t>
      </w:r>
    </w:p>
    <w:p>
      <w:pPr>
        <w:spacing w:before="120" w:after="120" w:line="288" w:lineRule="auto"/>
        <w:ind w:left="0" w:firstLine="0"/>
        <w:jc w:val="left"/>
      </w:pPr>
      <w:r>
        <w:rPr>
          <w:rFonts w:ascii="Arial" w:hAnsi="Arial" w:eastAsia="等线" w:cs="Arial"/>
          <w:color w:val="1F2329"/>
          <w:sz w:val="22"/>
        </w:rPr>
        <w:t>10.5 索赔申请推送- 17 -</w:t>
      </w:r>
    </w:p>
    <w:p>
      <w:pPr>
        <w:spacing w:before="120" w:after="120" w:line="288" w:lineRule="auto"/>
        <w:ind w:left="0" w:firstLine="0"/>
        <w:jc w:val="left"/>
      </w:pPr>
      <w:r>
        <w:rPr>
          <w:rFonts w:ascii="Arial" w:hAnsi="Arial" w:eastAsia="等线" w:cs="Arial"/>
          <w:color w:val="1F2329"/>
          <w:sz w:val="22"/>
        </w:rPr>
        <w:t>10.6 理赔结果通知- 19 -</w:t>
      </w:r>
    </w:p>
    <w:p>
      <w:pPr>
        <w:spacing w:before="120" w:after="120" w:line="288" w:lineRule="auto"/>
        <w:ind w:left="0" w:firstLine="0"/>
        <w:jc w:val="left"/>
      </w:pPr>
      <w:r>
        <w:rPr>
          <w:rFonts w:ascii="Arial" w:hAnsi="Arial" w:eastAsia="等线" w:cs="Arial"/>
          <w:color w:val="1F2329"/>
          <w:sz w:val="22"/>
        </w:rPr>
        <w:t>10.7 保函失效通知- 21 -</w:t>
      </w:r>
    </w:p>
    <w:p>
      <w:pPr>
        <w:spacing w:before="120" w:after="120" w:line="288" w:lineRule="auto"/>
        <w:ind w:left="0" w:firstLine="0"/>
        <w:jc w:val="left"/>
      </w:pPr>
      <w:r>
        <w:rPr>
          <w:rFonts w:ascii="Arial" w:hAnsi="Arial" w:eastAsia="等线" w:cs="Arial"/>
          <w:color w:val="1F2329"/>
          <w:sz w:val="22"/>
        </w:rPr>
        <w:t>10.8 保函注销结果推送- 22 -</w:t>
      </w:r>
    </w:p>
    <w:p>
      <w:pPr>
        <w:spacing w:before="120" w:after="120" w:line="288" w:lineRule="auto"/>
        <w:ind w:left="0" w:firstLine="0"/>
        <w:jc w:val="left"/>
      </w:pPr>
      <w:r>
        <w:rPr>
          <w:rFonts w:ascii="Arial" w:hAnsi="Arial" w:eastAsia="等线" w:cs="Arial"/>
          <w:color w:val="1F2329"/>
          <w:sz w:val="22"/>
        </w:rPr>
        <w:t>10.9 提交取消订单/退保申请信息- 24 -</w:t>
      </w:r>
    </w:p>
    <w:p>
      <w:pPr>
        <w:spacing w:before="120" w:after="120" w:line="288" w:lineRule="auto"/>
        <w:ind w:left="0" w:firstLine="0"/>
        <w:jc w:val="left"/>
      </w:pPr>
      <w:r>
        <w:rPr>
          <w:rFonts w:ascii="Arial" w:hAnsi="Arial" w:eastAsia="等线" w:cs="Arial"/>
          <w:color w:val="1F2329"/>
          <w:sz w:val="22"/>
        </w:rPr>
        <w:t>11 代码字典- 26 -</w:t>
      </w:r>
    </w:p>
    <w:p>
      <w:pPr>
        <w:spacing w:before="120" w:after="120" w:line="288" w:lineRule="auto"/>
        <w:ind w:left="0" w:firstLine="0"/>
        <w:jc w:val="left"/>
      </w:pPr>
      <w:r>
        <w:rPr>
          <w:rFonts w:ascii="Arial" w:hAnsi="Arial" w:eastAsia="等线" w:cs="Arial"/>
          <w:color w:val="1F2329"/>
          <w:sz w:val="22"/>
        </w:rPr>
        <w:t>11.1 错误码描述- 26 -</w:t>
      </w:r>
    </w:p>
    <w:p>
      <w:pPr>
        <w:spacing w:before="120" w:after="120" w:line="288" w:lineRule="auto"/>
        <w:ind w:left="0" w:firstLine="0"/>
        <w:jc w:val="left"/>
      </w:pPr>
    </w:p>
    <w:p>
      <w:pPr>
        <w:spacing w:before="380" w:after="140" w:line="288" w:lineRule="auto"/>
        <w:ind w:left="0"/>
        <w:jc w:val="left"/>
        <w:outlineLvl w:val="0"/>
      </w:pPr>
      <w:r>
        <w:rPr>
          <w:rFonts w:ascii="Arial" w:hAnsi="Arial" w:eastAsia="等线" w:cs="Arial"/>
          <w:color w:val="3370FF"/>
          <w:sz w:val="36"/>
        </w:rPr>
        <w:t xml:space="preserve">1. </w:t>
      </w:r>
      <w:r>
        <w:rPr>
          <w:rFonts w:ascii="Arial" w:hAnsi="Arial" w:eastAsia="等线" w:cs="Arial"/>
          <w:b/>
          <w:color w:val="1F2329"/>
          <w:sz w:val="36"/>
        </w:rPr>
        <w:t>背景</w:t>
      </w:r>
    </w:p>
    <w:p>
      <w:pPr>
        <w:spacing w:before="120" w:after="120" w:line="288" w:lineRule="auto"/>
        <w:ind w:left="0" w:firstLine="0"/>
        <w:jc w:val="left"/>
      </w:pPr>
      <w:r>
        <w:rPr>
          <w:rFonts w:ascii="Arial" w:hAnsi="Arial" w:eastAsia="等线" w:cs="Arial"/>
          <w:color w:val="1F2329"/>
          <w:sz w:val="22"/>
        </w:rPr>
        <w:t>为放大交易数据价值、降低交易成本，优化营商环境，加强交流互动，推动金融服务平台电子保函系统建设工作，电子保函系统可同时与多家金融服务机构实现系统级对接，汇聚各类担保机构、保险机构和专业担保机构，为参与交易的供应商提供“一站式”金融服务。</w:t>
      </w:r>
    </w:p>
    <w:p>
      <w:pPr>
        <w:spacing w:before="380" w:after="140" w:line="288" w:lineRule="auto"/>
        <w:ind w:left="0"/>
        <w:jc w:val="left"/>
        <w:outlineLvl w:val="0"/>
      </w:pPr>
      <w:r>
        <w:rPr>
          <w:rFonts w:ascii="Arial" w:hAnsi="Arial" w:eastAsia="等线" w:cs="Arial"/>
          <w:color w:val="3370FF"/>
          <w:sz w:val="36"/>
        </w:rPr>
        <w:t xml:space="preserve">2. </w:t>
      </w:r>
      <w:r>
        <w:rPr>
          <w:rFonts w:ascii="Arial" w:hAnsi="Arial" w:eastAsia="等线" w:cs="Arial"/>
          <w:b/>
          <w:color w:val="1F2329"/>
          <w:sz w:val="36"/>
        </w:rPr>
        <w:t>意义</w:t>
      </w:r>
    </w:p>
    <w:p>
      <w:pPr>
        <w:spacing w:before="120" w:after="120" w:line="288" w:lineRule="auto"/>
        <w:ind w:left="0" w:firstLine="0"/>
        <w:jc w:val="left"/>
      </w:pPr>
      <w:r>
        <w:rPr>
          <w:rFonts w:ascii="Arial" w:hAnsi="Arial" w:eastAsia="等线" w:cs="Arial"/>
          <w:color w:val="1F2329"/>
          <w:sz w:val="22"/>
        </w:rPr>
        <w:t>推进政府采购金融服务场景的应用。为金融机构接入政府采购金融服务平台履约保函服务提供技术规范。</w:t>
      </w:r>
    </w:p>
    <w:p>
      <w:pPr>
        <w:spacing w:before="380" w:after="140" w:line="288" w:lineRule="auto"/>
        <w:ind w:left="0"/>
        <w:jc w:val="left"/>
        <w:outlineLvl w:val="0"/>
      </w:pPr>
      <w:r>
        <w:rPr>
          <w:rFonts w:ascii="Arial" w:hAnsi="Arial" w:eastAsia="等线" w:cs="Arial"/>
          <w:color w:val="3370FF"/>
          <w:sz w:val="36"/>
        </w:rPr>
        <w:t xml:space="preserve">3. </w:t>
      </w:r>
      <w:r>
        <w:rPr>
          <w:rFonts w:ascii="Arial" w:hAnsi="Arial" w:eastAsia="等线" w:cs="Arial"/>
          <w:b/>
          <w:color w:val="1F2329"/>
          <w:sz w:val="36"/>
        </w:rPr>
        <w:t>应用范围</w:t>
      </w:r>
    </w:p>
    <w:p>
      <w:pPr>
        <w:spacing w:before="120" w:after="120" w:line="288" w:lineRule="auto"/>
        <w:jc w:val="left"/>
      </w:pPr>
      <w:r>
        <w:rPr>
          <w:rFonts w:ascii="Arial" w:hAnsi="Arial" w:eastAsia="等线" w:cs="Arial"/>
          <w:color w:val="1F2329"/>
          <w:sz w:val="22"/>
        </w:rPr>
        <w:t>本规范规定了政府采购金融服务平台履约保函服务的应用场景、系统框架及流程、数据规范及信息接口规范等。</w:t>
      </w:r>
    </w:p>
    <w:p>
      <w:pPr>
        <w:spacing w:before="120" w:after="120" w:line="288" w:lineRule="auto"/>
        <w:jc w:val="left"/>
      </w:pPr>
      <w:r>
        <w:rPr>
          <w:rFonts w:ascii="Arial" w:hAnsi="Arial" w:eastAsia="等线" w:cs="Arial"/>
          <w:color w:val="1F2329"/>
          <w:sz w:val="22"/>
        </w:rPr>
        <w:t>本规范适用于金融机构预接入到政府采购金融服务平台履约保函服务系统的设计与研发。</w:t>
      </w:r>
    </w:p>
    <w:p>
      <w:pPr>
        <w:spacing w:before="380" w:after="140" w:line="288" w:lineRule="auto"/>
        <w:ind w:left="0"/>
        <w:jc w:val="left"/>
        <w:outlineLvl w:val="0"/>
      </w:pPr>
      <w:r>
        <w:rPr>
          <w:rFonts w:ascii="Arial" w:hAnsi="Arial" w:eastAsia="等线" w:cs="Arial"/>
          <w:color w:val="3370FF"/>
          <w:sz w:val="36"/>
        </w:rPr>
        <w:t xml:space="preserve">4. </w:t>
      </w:r>
      <w:r>
        <w:rPr>
          <w:rFonts w:ascii="Arial" w:hAnsi="Arial" w:eastAsia="等线" w:cs="Arial"/>
          <w:b/>
          <w:color w:val="1F2329"/>
          <w:sz w:val="36"/>
        </w:rPr>
        <w:t>规范性引用文件</w:t>
      </w:r>
    </w:p>
    <w:p>
      <w:pPr>
        <w:spacing w:before="120" w:after="120" w:line="288" w:lineRule="auto"/>
        <w:ind w:left="0" w:firstLine="420"/>
        <w:jc w:val="left"/>
      </w:pPr>
      <w:r>
        <w:rPr>
          <w:rFonts w:ascii="Arial" w:hAnsi="Arial" w:eastAsia="等线" w:cs="Arial"/>
          <w:color w:val="1F2329"/>
          <w:sz w:val="22"/>
        </w:rPr>
        <w:t>GM/T 0003 SM2 椭圆曲线公钥密码算法。</w:t>
      </w:r>
    </w:p>
    <w:p>
      <w:pPr>
        <w:spacing w:before="120" w:after="120" w:line="288" w:lineRule="auto"/>
        <w:ind w:left="0" w:firstLine="420"/>
        <w:jc w:val="left"/>
      </w:pPr>
      <w:r>
        <w:rPr>
          <w:rFonts w:ascii="Arial" w:hAnsi="Arial" w:eastAsia="等线" w:cs="Arial"/>
          <w:color w:val="1F2329"/>
          <w:sz w:val="22"/>
        </w:rPr>
        <w:t>GM/T 0004-2012 SM3密码杂凑算法。</w:t>
      </w:r>
    </w:p>
    <w:p>
      <w:pPr>
        <w:spacing w:before="380" w:after="140" w:line="288" w:lineRule="auto"/>
        <w:ind w:left="0"/>
        <w:jc w:val="left"/>
        <w:outlineLvl w:val="0"/>
      </w:pPr>
      <w:r>
        <w:rPr>
          <w:rFonts w:ascii="Arial" w:hAnsi="Arial" w:eastAsia="等线" w:cs="Arial"/>
          <w:color w:val="3370FF"/>
          <w:sz w:val="36"/>
        </w:rPr>
        <w:t xml:space="preserve">5. </w:t>
      </w:r>
      <w:r>
        <w:rPr>
          <w:rFonts w:ascii="Arial" w:hAnsi="Arial" w:eastAsia="等线" w:cs="Arial"/>
          <w:b/>
          <w:color w:val="1F2329"/>
          <w:sz w:val="36"/>
        </w:rPr>
        <w:t>术语和定义</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术语/缩略语</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解释</w:t>
            </w:r>
          </w:p>
        </w:tc>
      </w:tr>
      <w:tr>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公私密钥对</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非对称密钥中的公钥和私钥。</w:t>
            </w:r>
          </w:p>
        </w:tc>
      </w:tr>
      <w:tr>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公钥</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非对称密钥对中公开的密钥。</w:t>
            </w:r>
          </w:p>
        </w:tc>
      </w:tr>
      <w:tr>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私钥</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非对称密钥对中非公开的密钥。</w:t>
            </w:r>
          </w:p>
        </w:tc>
      </w:tr>
    </w:tbl>
    <w:p>
      <w:pPr>
        <w:spacing w:before="120" w:after="120" w:line="288" w:lineRule="auto"/>
        <w:ind w:left="0" w:firstLine="0"/>
        <w:jc w:val="left"/>
      </w:pPr>
    </w:p>
    <w:p>
      <w:pPr>
        <w:spacing w:before="380" w:after="140" w:line="288" w:lineRule="auto"/>
        <w:ind w:left="0"/>
        <w:jc w:val="left"/>
        <w:outlineLvl w:val="0"/>
      </w:pPr>
      <w:r>
        <w:rPr>
          <w:rFonts w:ascii="Arial" w:hAnsi="Arial" w:eastAsia="等线" w:cs="Arial"/>
          <w:color w:val="3370FF"/>
          <w:sz w:val="36"/>
        </w:rPr>
        <w:t xml:space="preserve">6. </w:t>
      </w:r>
      <w:r>
        <w:rPr>
          <w:rFonts w:ascii="Arial" w:hAnsi="Arial" w:eastAsia="等线" w:cs="Arial"/>
          <w:b/>
          <w:color w:val="1F2329"/>
          <w:sz w:val="36"/>
        </w:rPr>
        <w:t>应用场景</w:t>
      </w:r>
    </w:p>
    <w:p>
      <w:pPr>
        <w:spacing w:before="120" w:after="120" w:line="288" w:lineRule="auto"/>
        <w:jc w:val="left"/>
      </w:pPr>
      <w:r>
        <w:rPr>
          <w:rFonts w:ascii="Arial" w:hAnsi="Arial" w:eastAsia="等线" w:cs="Arial"/>
          <w:color w:val="1F2329"/>
          <w:sz w:val="22"/>
        </w:rPr>
        <w:t>通过电子保函金融服务平台的建设，响应国家政策，满足大力发展电子保函业务，全程线上操作的需求，通过打通金融端和交易中心，实现交易中心、</w:t>
      </w:r>
      <w:r>
        <w:rPr>
          <w:rFonts w:hint="eastAsia" w:ascii="Arial" w:hAnsi="Arial" w:eastAsia="等线" w:cs="Arial"/>
          <w:color w:val="1F2329"/>
          <w:sz w:val="22"/>
          <w:lang w:val="en-US" w:eastAsia="zh-Hans"/>
        </w:rPr>
        <w:t>供应商</w:t>
      </w:r>
      <w:bookmarkStart w:id="0" w:name="_GoBack"/>
      <w:bookmarkEnd w:id="0"/>
      <w:r>
        <w:rPr>
          <w:rFonts w:ascii="Arial" w:hAnsi="Arial" w:eastAsia="等线" w:cs="Arial"/>
          <w:color w:val="1F2329"/>
          <w:sz w:val="22"/>
        </w:rPr>
        <w:t>、出函方三方融合。切实解决当前电子保函业务实施过程中的痛点与难点，将整个开立流程数字化形成线上闭环，同时平台充分考虑对接需求，满足交易中心在账户资料传递、一站式登录等方面的要求。整个平台具有以下特征</w:t>
      </w:r>
      <w:r>
        <w:rPr>
          <w:rFonts w:hint="eastAsia" w:ascii="Arial" w:hAnsi="Arial" w:eastAsia="等线" w:cs="Arial"/>
          <w:color w:val="1F2329"/>
          <w:sz w:val="22"/>
          <w:lang w:eastAsia="zh-CN"/>
        </w:rPr>
        <w:t>：</w:t>
      </w:r>
      <w:r>
        <w:rPr>
          <w:rFonts w:ascii="Arial" w:hAnsi="Arial" w:eastAsia="等线" w:cs="Arial"/>
          <w:color w:val="1F2329"/>
          <w:sz w:val="22"/>
        </w:rPr>
        <w:t>具有完全的自主知识产权;系统稳定安全、运行高效;可接入多种金融机构所需要的业务平台流程;平台的所有的能力可以API方式开放;可适用于各种交易中心的数据对接和业务需求。</w:t>
      </w:r>
    </w:p>
    <w:p>
      <w:pPr>
        <w:spacing w:before="380" w:after="140" w:line="288" w:lineRule="auto"/>
        <w:ind w:left="0"/>
        <w:jc w:val="left"/>
        <w:outlineLvl w:val="0"/>
      </w:pPr>
      <w:r>
        <w:rPr>
          <w:rFonts w:ascii="Arial" w:hAnsi="Arial" w:eastAsia="等线" w:cs="Arial"/>
          <w:color w:val="3370FF"/>
          <w:sz w:val="36"/>
        </w:rPr>
        <w:t xml:space="preserve">7. </w:t>
      </w:r>
      <w:r>
        <w:rPr>
          <w:rFonts w:ascii="Arial" w:hAnsi="Arial" w:eastAsia="等线" w:cs="Arial"/>
          <w:b/>
          <w:color w:val="1F2329"/>
          <w:sz w:val="36"/>
        </w:rPr>
        <w:t>架构及流程规范</w:t>
      </w:r>
    </w:p>
    <w:p>
      <w:pPr>
        <w:spacing w:before="320" w:after="120" w:line="288" w:lineRule="auto"/>
        <w:ind w:left="453"/>
        <w:jc w:val="left"/>
        <w:outlineLvl w:val="1"/>
      </w:pPr>
      <w:r>
        <w:rPr>
          <w:rFonts w:ascii="Arial" w:hAnsi="Arial" w:eastAsia="等线" w:cs="Arial"/>
          <w:color w:val="3370FF"/>
          <w:sz w:val="32"/>
        </w:rPr>
        <w:t xml:space="preserve">7.1 </w:t>
      </w:r>
      <w:r>
        <w:rPr>
          <w:rFonts w:ascii="Arial" w:hAnsi="Arial" w:eastAsia="等线" w:cs="Arial"/>
          <w:b/>
          <w:color w:val="1F2329"/>
          <w:sz w:val="32"/>
        </w:rPr>
        <w:t>总体组成说明</w:t>
      </w:r>
    </w:p>
    <w:p>
      <w:pPr>
        <w:spacing w:before="120" w:after="120" w:line="288" w:lineRule="auto"/>
        <w:ind w:left="0" w:firstLine="420"/>
        <w:jc w:val="left"/>
      </w:pPr>
      <w:r>
        <w:rPr>
          <w:rFonts w:ascii="Arial" w:hAnsi="Arial" w:eastAsia="等线" w:cs="Arial"/>
          <w:color w:val="1F2329"/>
          <w:sz w:val="22"/>
        </w:rPr>
        <w:t>政府采购供应商履约保函服务的应用场景中，参与业务交互的成员主要包括：政府采购金融服务平台及金融机构。</w:t>
      </w:r>
    </w:p>
    <w:p>
      <w:pPr>
        <w:spacing w:before="120" w:after="120" w:line="288" w:lineRule="auto"/>
        <w:ind w:left="0" w:firstLine="420"/>
        <w:jc w:val="left"/>
      </w:pPr>
      <w:r>
        <w:rPr>
          <w:rFonts w:ascii="Arial" w:hAnsi="Arial" w:eastAsia="等线" w:cs="Arial"/>
          <w:b/>
          <w:color w:val="1F2329"/>
          <w:sz w:val="22"/>
        </w:rPr>
        <w:t>政府采购金融服务平台</w:t>
      </w:r>
    </w:p>
    <w:p>
      <w:pPr>
        <w:spacing w:before="120" w:after="120" w:line="288" w:lineRule="auto"/>
        <w:ind w:left="0" w:firstLine="420"/>
        <w:jc w:val="left"/>
      </w:pPr>
      <w:r>
        <w:rPr>
          <w:rFonts w:ascii="Arial" w:hAnsi="Arial" w:eastAsia="等线" w:cs="Arial"/>
          <w:color w:val="1F2329"/>
          <w:sz w:val="22"/>
        </w:rPr>
        <w:t>政府采购金融服务平台为供应商及金融机构提供电子履约保函业务场景，其主要职责如下：</w:t>
      </w:r>
    </w:p>
    <w:p>
      <w:pPr>
        <w:spacing w:before="120" w:after="120" w:line="288" w:lineRule="auto"/>
        <w:ind w:left="0" w:firstLine="420"/>
        <w:jc w:val="left"/>
      </w:pPr>
      <w:r>
        <w:rPr>
          <w:rFonts w:ascii="Arial" w:hAnsi="Arial" w:eastAsia="等线" w:cs="Arial"/>
          <w:color w:val="1F2329"/>
          <w:sz w:val="22"/>
        </w:rPr>
        <w:t>1)为供应商提供履约保函申请及相关业务查询功能。</w:t>
      </w:r>
    </w:p>
    <w:p>
      <w:pPr>
        <w:spacing w:before="120" w:after="120" w:line="288" w:lineRule="auto"/>
        <w:ind w:left="0" w:firstLine="420"/>
        <w:jc w:val="left"/>
      </w:pPr>
      <w:r>
        <w:rPr>
          <w:rFonts w:ascii="Arial" w:hAnsi="Arial" w:eastAsia="等线" w:cs="Arial"/>
          <w:color w:val="1F2329"/>
          <w:sz w:val="22"/>
        </w:rPr>
        <w:t>2)为金融机构提供电子信息交互接口。</w:t>
      </w:r>
    </w:p>
    <w:p>
      <w:pPr>
        <w:spacing w:before="120" w:after="120" w:line="288" w:lineRule="auto"/>
        <w:ind w:left="0" w:firstLine="420"/>
        <w:jc w:val="left"/>
      </w:pPr>
      <w:r>
        <w:rPr>
          <w:rFonts w:ascii="Arial" w:hAnsi="Arial" w:eastAsia="等线" w:cs="Arial"/>
          <w:b/>
          <w:color w:val="1F2329"/>
          <w:sz w:val="22"/>
        </w:rPr>
        <w:t>金融机构</w:t>
      </w:r>
    </w:p>
    <w:p>
      <w:pPr>
        <w:spacing w:before="120" w:after="120" w:line="288" w:lineRule="auto"/>
        <w:ind w:left="0" w:firstLine="420"/>
        <w:jc w:val="left"/>
      </w:pPr>
      <w:r>
        <w:rPr>
          <w:rFonts w:ascii="Arial" w:hAnsi="Arial" w:eastAsia="等线" w:cs="Arial"/>
          <w:color w:val="1F2329"/>
          <w:sz w:val="22"/>
        </w:rPr>
        <w:t>金融机构为政府采购供应商提供履约保函服务，其主要职责如下：</w:t>
      </w:r>
    </w:p>
    <w:p>
      <w:pPr>
        <w:spacing w:before="120" w:after="120" w:line="288" w:lineRule="auto"/>
        <w:ind w:left="0" w:firstLine="420"/>
        <w:jc w:val="left"/>
      </w:pPr>
      <w:r>
        <w:rPr>
          <w:rFonts w:ascii="Arial" w:hAnsi="Arial" w:eastAsia="等线" w:cs="Arial"/>
          <w:color w:val="1F2329"/>
          <w:sz w:val="22"/>
        </w:rPr>
        <w:t>1)按照政府采购金融服务平台接口规范完成系统对接。</w:t>
      </w:r>
    </w:p>
    <w:p>
      <w:pPr>
        <w:spacing w:before="120" w:after="120" w:line="288" w:lineRule="auto"/>
        <w:ind w:left="0" w:firstLine="420"/>
        <w:jc w:val="left"/>
      </w:pPr>
      <w:r>
        <w:rPr>
          <w:rFonts w:ascii="Arial" w:hAnsi="Arial" w:eastAsia="等线" w:cs="Arial"/>
          <w:color w:val="1F2329"/>
          <w:sz w:val="22"/>
        </w:rPr>
        <w:t>2)响应供应商履约保函意向申请并按照政府采购金融服务平台接口标准完成相关数据交互。</w:t>
      </w:r>
    </w:p>
    <w:p>
      <w:pPr>
        <w:spacing w:before="380" w:after="140" w:line="288" w:lineRule="auto"/>
        <w:ind w:left="0"/>
        <w:jc w:val="left"/>
        <w:outlineLvl w:val="0"/>
      </w:pPr>
      <w:r>
        <w:rPr>
          <w:rFonts w:ascii="Arial" w:hAnsi="Arial" w:eastAsia="等线" w:cs="Arial"/>
          <w:color w:val="3370FF"/>
          <w:sz w:val="36"/>
        </w:rPr>
        <w:t xml:space="preserve">8. </w:t>
      </w:r>
      <w:r>
        <w:rPr>
          <w:rFonts w:ascii="Arial" w:hAnsi="Arial" w:eastAsia="等线" w:cs="Arial"/>
          <w:b/>
          <w:color w:val="1F2329"/>
          <w:sz w:val="36"/>
        </w:rPr>
        <w:t>履约保函业务流程</w:t>
      </w:r>
    </w:p>
    <w:p>
      <w:pPr>
        <w:spacing w:before="120" w:after="120" w:line="288" w:lineRule="auto"/>
        <w:ind w:left="0" w:firstLine="420"/>
        <w:jc w:val="left"/>
      </w:pPr>
      <w:r>
        <w:rPr>
          <w:rFonts w:ascii="Arial" w:hAnsi="Arial" w:eastAsia="等线" w:cs="Arial"/>
          <w:color w:val="1F2329"/>
          <w:sz w:val="22"/>
        </w:rPr>
        <w:t>政府采购履约保函业务流程如图所示：</w:t>
      </w:r>
    </w:p>
    <w:p>
      <w:pPr>
        <w:spacing w:before="120" w:after="120" w:line="288" w:lineRule="auto"/>
        <w:ind w:left="0"/>
        <w:jc w:val="center"/>
      </w:pPr>
      <w:r>
        <w:drawing>
          <wp:inline distT="0" distB="0" distL="0" distR="0">
            <wp:extent cx="4192270" cy="8947150"/>
            <wp:effectExtent l="0" t="0" r="11430" b="6350"/>
            <wp:docPr id="1" name="Drawing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0"/>
                    <pic:cNvPicPr>
                      <a:picLocks noChangeAspect="1"/>
                    </pic:cNvPicPr>
                  </pic:nvPicPr>
                  <pic:blipFill>
                    <a:blip r:embed="rId6"/>
                    <a:stretch>
                      <a:fillRect/>
                    </a:stretch>
                  </pic:blipFill>
                  <pic:spPr>
                    <a:xfrm>
                      <a:off x="0" y="0"/>
                      <a:ext cx="4192270" cy="8947150"/>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1 政府采购履约保函业务流程</w:t>
      </w:r>
    </w:p>
    <w:p>
      <w:pPr>
        <w:spacing w:before="120" w:after="120" w:line="288" w:lineRule="auto"/>
        <w:ind w:left="0" w:firstLine="0"/>
        <w:jc w:val="left"/>
      </w:pPr>
      <w:r>
        <w:rPr>
          <w:rFonts w:ascii="Arial" w:hAnsi="Arial" w:eastAsia="等线" w:cs="Arial"/>
          <w:b/>
          <w:color w:val="1F2329"/>
          <w:sz w:val="22"/>
        </w:rPr>
        <w:t>流程说明：</w:t>
      </w:r>
    </w:p>
    <w:p>
      <w:pPr>
        <w:numPr>
          <w:ilvl w:val="0"/>
          <w:numId w:val="1"/>
        </w:numPr>
        <w:spacing w:before="120" w:after="120" w:line="288" w:lineRule="auto"/>
        <w:ind w:left="453"/>
        <w:jc w:val="left"/>
      </w:pPr>
      <w:r>
        <w:rPr>
          <w:rFonts w:ascii="Arial" w:hAnsi="Arial" w:eastAsia="等线" w:cs="Arial"/>
          <w:color w:val="1F2329"/>
          <w:sz w:val="22"/>
        </w:rPr>
        <w:t>供应商申请保函流程：</w:t>
      </w:r>
    </w:p>
    <w:p>
      <w:pPr>
        <w:numPr>
          <w:ilvl w:val="0"/>
          <w:numId w:val="2"/>
        </w:numPr>
        <w:spacing w:before="120" w:after="120" w:line="288" w:lineRule="auto"/>
        <w:ind w:left="453"/>
        <w:jc w:val="left"/>
      </w:pPr>
      <w:r>
        <w:rPr>
          <w:rFonts w:ascii="Arial" w:hAnsi="Arial" w:eastAsia="等线" w:cs="Arial"/>
          <w:color w:val="1F2329"/>
          <w:sz w:val="22"/>
        </w:rPr>
        <w:t>供应商登录金融服务平台，选择中标项目，填下相关信息后，选择对应的机构，提交履约保函申请；</w:t>
      </w:r>
    </w:p>
    <w:p>
      <w:pPr>
        <w:numPr>
          <w:ilvl w:val="0"/>
          <w:numId w:val="3"/>
        </w:numPr>
        <w:spacing w:before="120" w:after="120" w:line="288" w:lineRule="auto"/>
        <w:ind w:left="453"/>
        <w:jc w:val="left"/>
      </w:pPr>
      <w:r>
        <w:rPr>
          <w:rFonts w:ascii="Arial" w:hAnsi="Arial" w:eastAsia="等线" w:cs="Arial"/>
          <w:color w:val="1F2329"/>
          <w:sz w:val="22"/>
        </w:rPr>
        <w:t>金融服务平台向对应金融机构推送供应商履约保函申请信息。</w:t>
      </w:r>
    </w:p>
    <w:p>
      <w:pPr>
        <w:numPr>
          <w:ilvl w:val="0"/>
          <w:numId w:val="4"/>
        </w:numPr>
        <w:spacing w:before="120" w:after="120" w:line="288" w:lineRule="auto"/>
        <w:ind w:left="0"/>
        <w:jc w:val="left"/>
      </w:pPr>
      <w:r>
        <w:rPr>
          <w:rFonts w:ascii="Arial" w:hAnsi="Arial" w:eastAsia="等线" w:cs="Arial"/>
          <w:b/>
          <w:color w:val="1F2329"/>
          <w:sz w:val="22"/>
        </w:rPr>
        <w:t>开函结果通知流程：</w:t>
      </w:r>
    </w:p>
    <w:p>
      <w:pPr>
        <w:numPr>
          <w:ilvl w:val="0"/>
          <w:numId w:val="5"/>
        </w:numPr>
        <w:spacing w:before="120" w:after="120" w:line="288" w:lineRule="auto"/>
        <w:ind w:left="453"/>
        <w:jc w:val="left"/>
      </w:pPr>
      <w:r>
        <w:rPr>
          <w:rFonts w:ascii="Arial" w:hAnsi="Arial" w:eastAsia="等线" w:cs="Arial"/>
          <w:color w:val="1F2329"/>
          <w:sz w:val="22"/>
        </w:rPr>
        <w:t>金融机构接收到履约保函申请后，进行内部审核，并将审核结果推送至金融服务平台；</w:t>
      </w:r>
    </w:p>
    <w:p>
      <w:pPr>
        <w:numPr>
          <w:ilvl w:val="0"/>
          <w:numId w:val="6"/>
        </w:numPr>
        <w:spacing w:before="120" w:after="120" w:line="288" w:lineRule="auto"/>
        <w:ind w:left="453"/>
        <w:jc w:val="left"/>
      </w:pPr>
      <w:r>
        <w:rPr>
          <w:rFonts w:ascii="Arial" w:hAnsi="Arial" w:eastAsia="等线" w:cs="Arial"/>
          <w:color w:val="1F2329"/>
          <w:sz w:val="22"/>
        </w:rPr>
        <w:t>若审核通过，供应商根据金融机构提供的支付渠道支付对应保函申请的保费；</w:t>
      </w:r>
    </w:p>
    <w:p>
      <w:pPr>
        <w:numPr>
          <w:ilvl w:val="0"/>
          <w:numId w:val="7"/>
        </w:numPr>
        <w:spacing w:before="120" w:after="120" w:line="288" w:lineRule="auto"/>
        <w:ind w:left="453"/>
        <w:jc w:val="left"/>
      </w:pPr>
      <w:r>
        <w:rPr>
          <w:rFonts w:ascii="Arial" w:hAnsi="Arial" w:eastAsia="等线" w:cs="Arial"/>
          <w:color w:val="1F2329"/>
          <w:sz w:val="22"/>
        </w:rPr>
        <w:t>金融机构收到保费后向供应商开立电子履约保函，并将开立保函结果通知给金融服务平台；</w:t>
      </w:r>
    </w:p>
    <w:p>
      <w:pPr>
        <w:numPr>
          <w:ilvl w:val="0"/>
          <w:numId w:val="8"/>
        </w:numPr>
        <w:spacing w:before="120" w:after="120" w:line="288" w:lineRule="auto"/>
        <w:ind w:left="0"/>
        <w:jc w:val="left"/>
      </w:pPr>
      <w:r>
        <w:rPr>
          <w:rFonts w:ascii="Arial" w:hAnsi="Arial" w:eastAsia="等线" w:cs="Arial"/>
          <w:b/>
          <w:color w:val="1F2329"/>
          <w:sz w:val="22"/>
        </w:rPr>
        <w:t>保函文件查询：</w:t>
      </w:r>
    </w:p>
    <w:p>
      <w:pPr>
        <w:numPr>
          <w:ilvl w:val="0"/>
          <w:numId w:val="9"/>
        </w:numPr>
        <w:spacing w:before="120" w:after="120" w:line="288" w:lineRule="auto"/>
        <w:ind w:left="453"/>
        <w:jc w:val="left"/>
      </w:pPr>
      <w:r>
        <w:rPr>
          <w:rFonts w:ascii="Arial" w:hAnsi="Arial" w:eastAsia="等线" w:cs="Arial"/>
          <w:color w:val="1F2329"/>
          <w:sz w:val="22"/>
        </w:rPr>
        <w:t>金融服务平台收到机构推送的保函结果通知后，进行保函文件的查询；</w:t>
      </w:r>
    </w:p>
    <w:p>
      <w:pPr>
        <w:numPr>
          <w:ilvl w:val="0"/>
          <w:numId w:val="10"/>
        </w:numPr>
        <w:spacing w:before="120" w:after="120" w:line="288" w:lineRule="auto"/>
        <w:ind w:left="0"/>
        <w:jc w:val="left"/>
      </w:pPr>
      <w:r>
        <w:rPr>
          <w:rFonts w:ascii="Arial" w:hAnsi="Arial" w:eastAsia="等线" w:cs="Arial"/>
          <w:b/>
          <w:color w:val="1F2329"/>
          <w:sz w:val="22"/>
        </w:rPr>
        <w:t>保函验真：</w:t>
      </w:r>
    </w:p>
    <w:p>
      <w:pPr>
        <w:numPr>
          <w:ilvl w:val="0"/>
          <w:numId w:val="11"/>
        </w:numPr>
        <w:spacing w:before="120" w:after="120" w:line="288" w:lineRule="auto"/>
        <w:ind w:left="453"/>
        <w:jc w:val="left"/>
      </w:pPr>
      <w:r>
        <w:rPr>
          <w:rFonts w:ascii="Arial" w:hAnsi="Arial" w:eastAsia="等线" w:cs="Arial"/>
          <w:color w:val="1F2329"/>
          <w:sz w:val="22"/>
        </w:rPr>
        <w:t>供应商/采购人在金融服务平台发起保函文件验真，金融机构接收申请后返回验真结果；</w:t>
      </w:r>
    </w:p>
    <w:p>
      <w:pPr>
        <w:numPr>
          <w:ilvl w:val="0"/>
          <w:numId w:val="12"/>
        </w:numPr>
        <w:spacing w:before="120" w:after="120" w:line="288" w:lineRule="auto"/>
        <w:ind w:left="0"/>
        <w:jc w:val="left"/>
      </w:pPr>
      <w:r>
        <w:rPr>
          <w:rFonts w:ascii="Arial" w:hAnsi="Arial" w:eastAsia="等线" w:cs="Arial"/>
          <w:b/>
          <w:color w:val="1F2329"/>
          <w:sz w:val="22"/>
        </w:rPr>
        <w:t>保函失效申请流程：</w:t>
      </w:r>
    </w:p>
    <w:p>
      <w:pPr>
        <w:numPr>
          <w:ilvl w:val="0"/>
          <w:numId w:val="13"/>
        </w:numPr>
        <w:spacing w:before="120" w:after="120" w:line="288" w:lineRule="auto"/>
        <w:ind w:left="453"/>
        <w:jc w:val="left"/>
      </w:pPr>
      <w:r>
        <w:rPr>
          <w:rFonts w:ascii="Arial" w:hAnsi="Arial" w:eastAsia="等线" w:cs="Arial"/>
          <w:color w:val="1F2329"/>
          <w:sz w:val="22"/>
        </w:rPr>
        <w:t>采购人如需注销保函，可登录金融服务平台，选择项目，发起保函失效申请；</w:t>
      </w:r>
    </w:p>
    <w:p>
      <w:pPr>
        <w:numPr>
          <w:ilvl w:val="0"/>
          <w:numId w:val="14"/>
        </w:numPr>
        <w:spacing w:before="120" w:after="120" w:line="288" w:lineRule="auto"/>
        <w:ind w:left="453"/>
        <w:jc w:val="left"/>
      </w:pPr>
      <w:r>
        <w:rPr>
          <w:rFonts w:ascii="Arial" w:hAnsi="Arial" w:eastAsia="等线" w:cs="Arial"/>
          <w:color w:val="1F2329"/>
          <w:sz w:val="22"/>
        </w:rPr>
        <w:t>金融服务平台向对应金融机构推送采购人发起的保函失效申请信息；</w:t>
      </w:r>
    </w:p>
    <w:p>
      <w:pPr>
        <w:numPr>
          <w:ilvl w:val="0"/>
          <w:numId w:val="15"/>
        </w:numPr>
        <w:spacing w:before="120" w:after="120" w:line="288" w:lineRule="auto"/>
        <w:ind w:left="453"/>
        <w:jc w:val="left"/>
      </w:pPr>
      <w:r>
        <w:rPr>
          <w:rFonts w:ascii="Arial" w:hAnsi="Arial" w:eastAsia="等线" w:cs="Arial"/>
          <w:color w:val="1F2329"/>
          <w:sz w:val="22"/>
        </w:rPr>
        <w:t>金融机构接收信息后，进行内部审核，推送注销结果至金融机构；</w:t>
      </w:r>
    </w:p>
    <w:p>
      <w:pPr>
        <w:numPr>
          <w:ilvl w:val="0"/>
          <w:numId w:val="16"/>
        </w:numPr>
        <w:spacing w:before="120" w:after="120" w:line="288" w:lineRule="auto"/>
        <w:ind w:left="0"/>
        <w:jc w:val="left"/>
      </w:pPr>
      <w:r>
        <w:rPr>
          <w:rFonts w:ascii="Arial" w:hAnsi="Arial" w:eastAsia="等线" w:cs="Arial"/>
          <w:b/>
          <w:color w:val="1F2329"/>
          <w:sz w:val="22"/>
        </w:rPr>
        <w:t>理赔申请结果：</w:t>
      </w:r>
    </w:p>
    <w:p>
      <w:pPr>
        <w:numPr>
          <w:ilvl w:val="0"/>
          <w:numId w:val="17"/>
        </w:numPr>
        <w:spacing w:before="120" w:after="120" w:line="288" w:lineRule="auto"/>
        <w:ind w:left="453"/>
        <w:jc w:val="left"/>
      </w:pPr>
      <w:r>
        <w:rPr>
          <w:rFonts w:ascii="Arial" w:hAnsi="Arial" w:eastAsia="等线" w:cs="Arial"/>
          <w:color w:val="1F2329"/>
          <w:sz w:val="22"/>
        </w:rPr>
        <w:t>采购人如需要向对应开函机构索赔，可登录金融服务平台索赔管理中发起索赔申请。</w:t>
      </w:r>
    </w:p>
    <w:p>
      <w:pPr>
        <w:numPr>
          <w:ilvl w:val="0"/>
          <w:numId w:val="18"/>
        </w:numPr>
        <w:spacing w:before="120" w:after="120" w:line="288" w:lineRule="auto"/>
        <w:ind w:left="453"/>
        <w:jc w:val="left"/>
      </w:pPr>
      <w:r>
        <w:rPr>
          <w:rFonts w:ascii="Arial" w:hAnsi="Arial" w:eastAsia="等线" w:cs="Arial"/>
          <w:color w:val="1F2329"/>
          <w:sz w:val="22"/>
        </w:rPr>
        <w:t>金融服务平台向对应金融机构推送采购人发起的理赔申请信息；</w:t>
      </w:r>
    </w:p>
    <w:p>
      <w:pPr>
        <w:numPr>
          <w:ilvl w:val="0"/>
          <w:numId w:val="19"/>
        </w:numPr>
        <w:spacing w:before="120" w:after="120" w:line="288" w:lineRule="auto"/>
        <w:ind w:left="453"/>
        <w:jc w:val="left"/>
      </w:pPr>
      <w:r>
        <w:rPr>
          <w:rFonts w:ascii="Arial" w:hAnsi="Arial" w:eastAsia="等线" w:cs="Arial"/>
          <w:color w:val="1F2329"/>
          <w:sz w:val="22"/>
        </w:rPr>
        <w:t>金融机构接收信息后，进行内部审核，推送理赔结果至金融机构；</w:t>
      </w:r>
    </w:p>
    <w:p>
      <w:pPr>
        <w:numPr>
          <w:ilvl w:val="0"/>
          <w:numId w:val="20"/>
        </w:numPr>
        <w:spacing w:before="120" w:after="120" w:line="288" w:lineRule="auto"/>
        <w:ind w:left="0"/>
        <w:jc w:val="left"/>
      </w:pPr>
      <w:r>
        <w:rPr>
          <w:rFonts w:ascii="Arial" w:hAnsi="Arial" w:eastAsia="等线" w:cs="Arial"/>
          <w:b/>
          <w:color w:val="1F2329"/>
          <w:sz w:val="22"/>
        </w:rPr>
        <w:t>取消/退保申请：</w:t>
      </w:r>
    </w:p>
    <w:p>
      <w:pPr>
        <w:numPr>
          <w:ilvl w:val="0"/>
          <w:numId w:val="21"/>
        </w:numPr>
        <w:spacing w:before="120" w:after="120" w:line="288" w:lineRule="auto"/>
        <w:ind w:left="453"/>
        <w:jc w:val="left"/>
      </w:pPr>
      <w:r>
        <w:rPr>
          <w:rFonts w:ascii="Arial" w:hAnsi="Arial" w:eastAsia="等线" w:cs="Arial"/>
          <w:color w:val="1F2329"/>
          <w:sz w:val="22"/>
        </w:rPr>
        <w:t>供应商若需取消/退保，可在金融服务平台发起取消/退保申请；</w:t>
      </w:r>
    </w:p>
    <w:p>
      <w:pPr>
        <w:numPr>
          <w:ilvl w:val="0"/>
          <w:numId w:val="22"/>
        </w:numPr>
        <w:spacing w:before="120" w:after="120" w:line="288" w:lineRule="auto"/>
        <w:ind w:left="453"/>
        <w:jc w:val="left"/>
      </w:pPr>
      <w:r>
        <w:rPr>
          <w:rFonts w:ascii="Arial" w:hAnsi="Arial" w:eastAsia="等线" w:cs="Arial"/>
          <w:color w:val="1F2329"/>
          <w:sz w:val="22"/>
        </w:rPr>
        <w:t>金融服务平台向对应金融机构推送供应商发起的取消/退保申请信息；</w:t>
      </w:r>
    </w:p>
    <w:p>
      <w:pPr>
        <w:numPr>
          <w:ilvl w:val="0"/>
          <w:numId w:val="23"/>
        </w:numPr>
        <w:spacing w:before="120" w:after="120" w:line="288" w:lineRule="auto"/>
        <w:ind w:left="453"/>
        <w:jc w:val="left"/>
      </w:pPr>
      <w:r>
        <w:rPr>
          <w:rFonts w:ascii="Arial" w:hAnsi="Arial" w:eastAsia="等线" w:cs="Arial"/>
          <w:color w:val="1F2329"/>
          <w:sz w:val="22"/>
        </w:rPr>
        <w:t>金融机构接收信息后，进行内部审核，推送取消/退保结果至金融机构；</w:t>
      </w:r>
    </w:p>
    <w:p>
      <w:pPr>
        <w:spacing w:before="380" w:after="140" w:line="288" w:lineRule="auto"/>
        <w:ind w:left="0"/>
        <w:jc w:val="left"/>
        <w:outlineLvl w:val="0"/>
      </w:pPr>
      <w:r>
        <w:rPr>
          <w:rFonts w:ascii="Arial" w:hAnsi="Arial" w:eastAsia="等线" w:cs="Arial"/>
          <w:color w:val="3370FF"/>
          <w:sz w:val="36"/>
        </w:rPr>
        <w:t xml:space="preserve">9. </w:t>
      </w:r>
      <w:r>
        <w:rPr>
          <w:rFonts w:ascii="Arial" w:hAnsi="Arial" w:eastAsia="等线" w:cs="Arial"/>
          <w:b/>
          <w:color w:val="1F2329"/>
          <w:sz w:val="36"/>
        </w:rPr>
        <w:t>数据规范</w:t>
      </w:r>
    </w:p>
    <w:p>
      <w:pPr>
        <w:spacing w:before="320" w:after="120" w:line="288" w:lineRule="auto"/>
        <w:ind w:left="453"/>
        <w:jc w:val="left"/>
        <w:outlineLvl w:val="1"/>
      </w:pPr>
      <w:r>
        <w:rPr>
          <w:rFonts w:ascii="Arial" w:hAnsi="Arial" w:eastAsia="等线" w:cs="Arial"/>
          <w:color w:val="3370FF"/>
          <w:sz w:val="32"/>
        </w:rPr>
        <w:t xml:space="preserve">9.1 </w:t>
      </w:r>
      <w:r>
        <w:rPr>
          <w:rFonts w:ascii="Arial" w:hAnsi="Arial" w:eastAsia="等线" w:cs="Arial"/>
          <w:b/>
          <w:color w:val="1F2329"/>
          <w:sz w:val="32"/>
        </w:rPr>
        <w:t>传输规则</w:t>
      </w:r>
    </w:p>
    <w:p>
      <w:pPr>
        <w:spacing w:before="300" w:after="120" w:line="288" w:lineRule="auto"/>
        <w:ind w:left="907"/>
        <w:jc w:val="left"/>
        <w:outlineLvl w:val="2"/>
      </w:pPr>
      <w:r>
        <w:rPr>
          <w:rFonts w:ascii="Arial" w:hAnsi="Arial" w:eastAsia="等线" w:cs="Arial"/>
          <w:color w:val="3370FF"/>
          <w:sz w:val="30"/>
        </w:rPr>
        <w:t xml:space="preserve">9.1.1 </w:t>
      </w:r>
      <w:r>
        <w:rPr>
          <w:rFonts w:ascii="Arial" w:hAnsi="Arial" w:eastAsia="等线" w:cs="Arial"/>
          <w:b/>
          <w:color w:val="1F2329"/>
          <w:sz w:val="30"/>
        </w:rPr>
        <w:t>通讯方式</w:t>
      </w:r>
    </w:p>
    <w:p>
      <w:pPr>
        <w:spacing w:before="120" w:after="120" w:line="288" w:lineRule="auto"/>
        <w:ind w:left="0" w:firstLine="420"/>
        <w:jc w:val="left"/>
      </w:pPr>
      <w:r>
        <w:rPr>
          <w:rFonts w:ascii="Arial" w:hAnsi="Arial" w:eastAsia="等线" w:cs="Arial"/>
          <w:color w:val="1F2329"/>
          <w:sz w:val="22"/>
        </w:rPr>
        <w:t>金融机构通过互联网接入的方式与金融服务平台进行连接，报文传输方式采用HTTP/HTTPS+POST+JSON报文格式。</w:t>
      </w:r>
    </w:p>
    <w:p>
      <w:pPr>
        <w:spacing w:before="300" w:after="120" w:line="288" w:lineRule="auto"/>
        <w:ind w:left="0"/>
        <w:jc w:val="left"/>
        <w:outlineLvl w:val="2"/>
      </w:pPr>
      <w:r>
        <w:rPr>
          <w:rFonts w:ascii="Arial" w:hAnsi="Arial" w:eastAsia="等线" w:cs="Arial"/>
          <w:color w:val="3370FF"/>
          <w:sz w:val="30"/>
        </w:rPr>
        <w:t xml:space="preserve">9.1.2 </w:t>
      </w:r>
      <w:r>
        <w:rPr>
          <w:rFonts w:ascii="Arial" w:hAnsi="Arial" w:eastAsia="等线" w:cs="Arial"/>
          <w:b/>
          <w:color w:val="1F2329"/>
          <w:sz w:val="30"/>
        </w:rPr>
        <w:t>编码方式</w:t>
      </w:r>
    </w:p>
    <w:p>
      <w:pPr>
        <w:spacing w:before="120" w:after="120" w:line="288" w:lineRule="auto"/>
        <w:ind w:left="0" w:firstLine="420"/>
        <w:jc w:val="left"/>
      </w:pPr>
      <w:r>
        <w:rPr>
          <w:rFonts w:ascii="Arial" w:hAnsi="Arial" w:eastAsia="等线" w:cs="Arial"/>
          <w:color w:val="1F2329"/>
          <w:sz w:val="22"/>
        </w:rPr>
        <w:t>报文采用Unicode字符集，UTF-8编码方式。</w:t>
      </w:r>
    </w:p>
    <w:p>
      <w:pPr>
        <w:spacing w:before="320" w:after="120" w:line="288" w:lineRule="auto"/>
        <w:ind w:left="453"/>
        <w:jc w:val="left"/>
        <w:outlineLvl w:val="1"/>
      </w:pPr>
      <w:r>
        <w:rPr>
          <w:rFonts w:ascii="Arial" w:hAnsi="Arial" w:eastAsia="等线" w:cs="Arial"/>
          <w:color w:val="3370FF"/>
          <w:sz w:val="32"/>
        </w:rPr>
        <w:t xml:space="preserve">9.2 </w:t>
      </w:r>
      <w:r>
        <w:rPr>
          <w:rFonts w:ascii="Arial" w:hAnsi="Arial" w:eastAsia="等线" w:cs="Arial"/>
          <w:b/>
          <w:color w:val="1F2329"/>
          <w:sz w:val="32"/>
        </w:rPr>
        <w:t>报文格式</w:t>
      </w:r>
    </w:p>
    <w:p>
      <w:pPr>
        <w:spacing w:before="300" w:after="120" w:line="288" w:lineRule="auto"/>
        <w:ind w:left="907"/>
        <w:jc w:val="left"/>
        <w:outlineLvl w:val="2"/>
      </w:pPr>
      <w:r>
        <w:rPr>
          <w:rFonts w:ascii="Arial" w:hAnsi="Arial" w:eastAsia="等线" w:cs="Arial"/>
          <w:color w:val="3370FF"/>
          <w:sz w:val="30"/>
        </w:rPr>
        <w:t xml:space="preserve">9.2.1 </w:t>
      </w:r>
      <w:r>
        <w:rPr>
          <w:rFonts w:ascii="Arial" w:hAnsi="Arial" w:eastAsia="等线" w:cs="Arial"/>
          <w:b/>
          <w:color w:val="1F2329"/>
          <w:sz w:val="30"/>
        </w:rPr>
        <w:t>请求报文说明</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transcode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交易码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接口唯一标识</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msgcode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流水号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交易流水号，取32位UUID。</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adfd95a4b3634b58b0cf3b8c67b18a29</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appid</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银行标识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分配的银行appid</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reqtime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请求时间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年月日，为yyyyMMddHHmmss格式</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20220125120000</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version</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接口版本</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v1.0</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data</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请求报文加密后的数据</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报文JSON字符串使用国密SM2算法加密后的数据。</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7</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sign</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请求报文的签名数据</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请求报文的摘要信息，使用国密SM3算法进行签名。</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00" w:after="120" w:line="288" w:lineRule="auto"/>
        <w:ind w:left="0"/>
        <w:jc w:val="left"/>
        <w:outlineLvl w:val="2"/>
      </w:pPr>
      <w:r>
        <w:rPr>
          <w:rFonts w:ascii="Arial" w:hAnsi="Arial" w:eastAsia="等线" w:cs="Arial"/>
          <w:color w:val="3370FF"/>
          <w:sz w:val="30"/>
        </w:rPr>
        <w:t xml:space="preserve">9.2.2 </w:t>
      </w:r>
      <w:r>
        <w:rPr>
          <w:rFonts w:ascii="Arial" w:hAnsi="Arial" w:eastAsia="等线" w:cs="Arial"/>
          <w:b/>
          <w:color w:val="1F2329"/>
          <w:sz w:val="30"/>
        </w:rPr>
        <w:t>响应报文说明</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data</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响应报文加密后的数据</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响应报文JSON字符串使用国密SM2算法加密后的数据。</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9.3 </w:t>
      </w:r>
      <w:r>
        <w:rPr>
          <w:rFonts w:ascii="Arial" w:hAnsi="Arial" w:eastAsia="等线" w:cs="Arial"/>
          <w:b/>
          <w:color w:val="1F2329"/>
          <w:sz w:val="32"/>
        </w:rPr>
        <w:t>接口安全</w:t>
      </w:r>
    </w:p>
    <w:p>
      <w:pPr>
        <w:spacing w:before="300" w:after="120" w:line="288" w:lineRule="auto"/>
        <w:ind w:left="453"/>
        <w:jc w:val="left"/>
        <w:outlineLvl w:val="2"/>
      </w:pPr>
      <w:r>
        <w:rPr>
          <w:rFonts w:ascii="Arial" w:hAnsi="Arial" w:eastAsia="等线" w:cs="Arial"/>
          <w:color w:val="3370FF"/>
          <w:sz w:val="30"/>
        </w:rPr>
        <w:t xml:space="preserve">9.3.1 </w:t>
      </w:r>
      <w:r>
        <w:rPr>
          <w:rFonts w:ascii="Arial" w:hAnsi="Arial" w:eastAsia="等线" w:cs="Arial"/>
          <w:b/>
          <w:color w:val="1F2329"/>
          <w:sz w:val="30"/>
        </w:rPr>
        <w:t>报文加密方式</w:t>
      </w:r>
    </w:p>
    <w:p>
      <w:pPr>
        <w:spacing w:before="120" w:after="120" w:line="288" w:lineRule="auto"/>
        <w:ind w:left="0" w:firstLine="420"/>
        <w:jc w:val="left"/>
      </w:pPr>
      <w:r>
        <w:rPr>
          <w:rFonts w:ascii="Arial" w:hAnsi="Arial" w:eastAsia="等线" w:cs="Arial"/>
          <w:color w:val="1F2329"/>
          <w:sz w:val="22"/>
        </w:rPr>
        <w:t xml:space="preserve">为了加强接口传输的数据安全性，使用SM2非对称算法对传输的报文进行加解密。金融机构在申请接入时与金融服务平台互相交换公钥信息，加密后的内容及密钥对均使用Base64编码的方式。 </w:t>
      </w:r>
    </w:p>
    <w:p>
      <w:pPr>
        <w:spacing w:before="300" w:after="120" w:line="288" w:lineRule="auto"/>
        <w:ind w:left="453"/>
        <w:jc w:val="left"/>
        <w:outlineLvl w:val="2"/>
      </w:pPr>
      <w:r>
        <w:rPr>
          <w:rFonts w:ascii="Arial" w:hAnsi="Arial" w:eastAsia="等线" w:cs="Arial"/>
          <w:color w:val="3370FF"/>
          <w:sz w:val="30"/>
        </w:rPr>
        <w:t xml:space="preserve">9.3.2 </w:t>
      </w:r>
      <w:r>
        <w:rPr>
          <w:rFonts w:ascii="Arial" w:hAnsi="Arial" w:eastAsia="等线" w:cs="Arial"/>
          <w:b/>
          <w:color w:val="1F2329"/>
          <w:sz w:val="30"/>
        </w:rPr>
        <w:t>报文签名方式</w:t>
      </w:r>
    </w:p>
    <w:p>
      <w:pPr>
        <w:spacing w:before="120" w:after="120" w:line="288" w:lineRule="auto"/>
        <w:ind w:left="0" w:firstLine="420"/>
        <w:jc w:val="left"/>
      </w:pPr>
      <w:r>
        <w:rPr>
          <w:rFonts w:ascii="Arial" w:hAnsi="Arial" w:eastAsia="等线" w:cs="Arial"/>
          <w:color w:val="1F2329"/>
          <w:sz w:val="22"/>
        </w:rPr>
        <w:t>为了验证请求方的合法身份，请求方在请求接口时，都需要根据当前请求报文通过SM3摘要算法生成签名信息。</w:t>
      </w:r>
    </w:p>
    <w:p>
      <w:pPr>
        <w:spacing w:before="120" w:after="120" w:line="288" w:lineRule="auto"/>
        <w:ind w:left="0" w:firstLine="420"/>
        <w:jc w:val="left"/>
      </w:pPr>
      <w:r>
        <w:rPr>
          <w:rFonts w:ascii="Arial" w:hAnsi="Arial" w:eastAsia="等线" w:cs="Arial"/>
          <w:color w:val="1F2329"/>
          <w:sz w:val="22"/>
        </w:rPr>
        <w:t>金融机构在申请接入时，由金融服务平台提供平台密钥，包含appkey 和 appsecret，签名方式如下：SM3({data}&amp;{reqtime}&amp;{appkey}&amp;{appsecret})。</w:t>
      </w:r>
    </w:p>
    <w:p>
      <w:pPr>
        <w:spacing w:before="300" w:after="120" w:line="288" w:lineRule="auto"/>
        <w:ind w:left="453"/>
        <w:jc w:val="left"/>
        <w:outlineLvl w:val="2"/>
      </w:pPr>
      <w:r>
        <w:rPr>
          <w:rFonts w:ascii="Arial" w:hAnsi="Arial" w:eastAsia="等线" w:cs="Arial"/>
          <w:color w:val="3370FF"/>
          <w:sz w:val="30"/>
        </w:rPr>
        <w:t xml:space="preserve">9.3.3 </w:t>
      </w:r>
      <w:r>
        <w:rPr>
          <w:rFonts w:ascii="Arial" w:hAnsi="Arial" w:eastAsia="等线" w:cs="Arial"/>
          <w:b/>
          <w:color w:val="1F2329"/>
          <w:sz w:val="30"/>
        </w:rPr>
        <w:t>数字信封</w:t>
      </w:r>
    </w:p>
    <w:p>
      <w:pPr>
        <w:spacing w:before="120" w:after="120" w:line="288" w:lineRule="auto"/>
        <w:ind w:left="0" w:firstLine="0"/>
        <w:jc w:val="left"/>
      </w:pPr>
      <w:r>
        <w:rPr>
          <w:rFonts w:ascii="Arial" w:hAnsi="Arial" w:eastAsia="等线" w:cs="Arial"/>
          <w:color w:val="1F2329"/>
          <w:sz w:val="22"/>
        </w:rPr>
        <w:t>将对称密钥通过非对称加密(即：有公钥和私钥两个)的结果分发对称密钥。具体实现方式：用对称秘钥对文件或字节加密,然后用非对称秘钥对对称秘钥的钥匙进行加密。</w:t>
      </w:r>
    </w:p>
    <w:p>
      <w:pPr>
        <w:spacing w:before="120" w:after="120" w:line="288" w:lineRule="auto"/>
        <w:ind w:left="0" w:firstLine="0"/>
        <w:jc w:val="left"/>
      </w:pPr>
      <w:r>
        <w:rPr>
          <w:rFonts w:ascii="Arial" w:hAnsi="Arial" w:eastAsia="等线" w:cs="Arial"/>
          <w:color w:val="1F2329"/>
          <w:sz w:val="22"/>
        </w:rPr>
        <w:t>加密：data:生成一个密钥，对文件进行对称加密，sign：对生成密钥进行非对称加密</w:t>
      </w:r>
    </w:p>
    <w:p>
      <w:pPr>
        <w:spacing w:before="120" w:after="120" w:line="288" w:lineRule="auto"/>
        <w:ind w:left="0" w:firstLine="0"/>
        <w:jc w:val="left"/>
      </w:pPr>
      <w:r>
        <w:rPr>
          <w:rFonts w:ascii="Arial" w:hAnsi="Arial" w:eastAsia="等线" w:cs="Arial"/>
          <w:color w:val="1F2329"/>
          <w:sz w:val="22"/>
        </w:rPr>
        <w:t xml:space="preserve">解密：用私钥对sign值进行解密，得到对称加密密钥，用解密的密钥对data进行对称解密。 </w:t>
      </w:r>
    </w:p>
    <w:p>
      <w:pPr>
        <w:spacing w:before="380" w:after="140" w:line="288" w:lineRule="auto"/>
        <w:ind w:left="0"/>
        <w:jc w:val="left"/>
        <w:outlineLvl w:val="0"/>
      </w:pPr>
      <w:r>
        <w:rPr>
          <w:rFonts w:ascii="Arial" w:hAnsi="Arial" w:eastAsia="等线" w:cs="Arial"/>
          <w:color w:val="3370FF"/>
          <w:sz w:val="36"/>
        </w:rPr>
        <w:t xml:space="preserve">10. </w:t>
      </w:r>
      <w:r>
        <w:rPr>
          <w:rFonts w:ascii="Arial" w:hAnsi="Arial" w:eastAsia="等线" w:cs="Arial"/>
          <w:b/>
          <w:color w:val="1F2329"/>
          <w:sz w:val="36"/>
        </w:rPr>
        <w:t>信息接口规范</w:t>
      </w:r>
    </w:p>
    <w:p>
      <w:pPr>
        <w:spacing w:before="320" w:after="120" w:line="288" w:lineRule="auto"/>
        <w:ind w:left="453"/>
        <w:jc w:val="left"/>
        <w:outlineLvl w:val="1"/>
      </w:pPr>
      <w:r>
        <w:rPr>
          <w:rFonts w:ascii="Arial" w:hAnsi="Arial" w:eastAsia="等线" w:cs="Arial"/>
          <w:color w:val="3370FF"/>
          <w:sz w:val="32"/>
        </w:rPr>
        <w:t xml:space="preserve">10.1 </w:t>
      </w:r>
      <w:r>
        <w:rPr>
          <w:rFonts w:ascii="Arial" w:hAnsi="Arial" w:eastAsia="等线" w:cs="Arial"/>
          <w:b/>
          <w:color w:val="1F2329"/>
          <w:sz w:val="32"/>
        </w:rPr>
        <w:t>提交保函申请信息</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2" name="Draw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1"/>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2 提交保函申请接口流程示意图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接口地址由金融机构提供</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ELY101</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供应商凭借已在政府采购平台公示的中标公告及项目信息向金融机构提交履约保函申请，金融服务平台向对应的金融机构提交履约保函申请信息</w:t>
            </w:r>
          </w:p>
        </w:tc>
      </w:tr>
    </w:tbl>
    <w:p>
      <w:pPr>
        <w:numPr>
          <w:ilvl w:val="0"/>
          <w:numId w:val="24"/>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numPr>
                <w:ilvl w:val="0"/>
                <w:numId w:val="25"/>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申请编号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履约保函申请订单的唯一编号</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26"/>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supplier</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企业名称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投保企业名称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27"/>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socialCreditCode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供应商统一社会信用代码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28"/>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legalName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法人姓名</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29"/>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legalIdNo</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法人身份证号码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0"/>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supplierAddress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企业地址</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企业地址</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1"/>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performanceBound </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履约保证金</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float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保留2位小数点</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2"/>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contacts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经办人</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3"/>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contactsWay</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经办人联系方式</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4"/>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contractCerNo</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经办人身份证号码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5"/>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needPaper</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是否需要纸质保函</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1：需要纸质保函</w:t>
            </w:r>
          </w:p>
          <w:p>
            <w:pPr>
              <w:spacing w:before="120" w:after="120" w:line="288" w:lineRule="auto"/>
              <w:ind w:left="0"/>
              <w:jc w:val="left"/>
            </w:pPr>
            <w:r>
              <w:rPr>
                <w:rFonts w:ascii="Arial" w:hAnsi="Arial" w:eastAsia="等线" w:cs="Arial"/>
                <w:color w:val="1F2329"/>
                <w:sz w:val="22"/>
              </w:rPr>
              <w:t>0: 不需要纸质保函</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6"/>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mailAddress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邮寄地址</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当需要纸质保函时，邮寄地址为必填项</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37"/>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projectCode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政府采购统一项目编号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128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政府采购统一项目编号</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8"/>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projectName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项目名称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项目名称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39"/>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bidCode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标段编号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0"/>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bidName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标段名称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1"/>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purchaseNature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采购品目</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枚举值：服务类、货物类、工程类</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服务类</w:t>
            </w:r>
          </w:p>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2"/>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bidDate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中标日期</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格式：yyyyMMdd</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3"/>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bidAmount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中标金额</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float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保留2位小数点</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4"/>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purchaseName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采购人名称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numPr>
                <w:ilvl w:val="0"/>
                <w:numId w:val="45"/>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purchaseSocCode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采购人组织机构代码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采购人组织机构代码/统一社会信用代码</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46"/>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担保期限</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月</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24</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47"/>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contractDate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合同期限</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月</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24</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48"/>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guaranteeStartDate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担保时间起期</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sz w:val="22"/>
              </w:rPr>
              <w:t>可根据机构需求为选填项</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49"/>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guaranteeEndDate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担保时间止期</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sz w:val="22"/>
              </w:rPr>
              <w:t>可根据机构需求为选填项</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50"/>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ext1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拓展字段1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51"/>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ext2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拓展字段2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numPr>
                <w:ilvl w:val="0"/>
                <w:numId w:val="52"/>
              </w:num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ext3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拓展字段3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0"/>
        <w:jc w:val="left"/>
      </w:pPr>
    </w:p>
    <w:p>
      <w:pPr>
        <w:numPr>
          <w:ilvl w:val="0"/>
          <w:numId w:val="53"/>
        </w:numPr>
        <w:spacing w:before="120" w:after="120" w:line="288" w:lineRule="auto"/>
        <w:ind w:left="0"/>
        <w:jc w:val="left"/>
      </w:pPr>
      <w:r>
        <w:rPr>
          <w:rFonts w:ascii="Arial" w:hAnsi="Arial" w:eastAsia="等线" w:cs="Arial"/>
          <w:b/>
          <w:color w:val="1F2329"/>
          <w:sz w:val="22"/>
        </w:rPr>
        <w:t>响应值描述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0"/>
        <w:jc w:val="left"/>
      </w:pPr>
    </w:p>
    <w:p>
      <w:pPr>
        <w:spacing w:before="320" w:after="120" w:line="288" w:lineRule="auto"/>
        <w:ind w:left="453"/>
        <w:jc w:val="left"/>
        <w:outlineLvl w:val="1"/>
      </w:pPr>
      <w:r>
        <w:rPr>
          <w:rFonts w:ascii="Arial" w:hAnsi="Arial" w:eastAsia="等线" w:cs="Arial"/>
          <w:color w:val="3370FF"/>
          <w:sz w:val="32"/>
        </w:rPr>
        <w:t xml:space="preserve">10.2 </w:t>
      </w:r>
      <w:r>
        <w:rPr>
          <w:rFonts w:ascii="Arial" w:hAnsi="Arial" w:eastAsia="等线" w:cs="Arial"/>
          <w:b/>
          <w:color w:val="1F2329"/>
          <w:sz w:val="32"/>
        </w:rPr>
        <w:t>保函申请状态通知</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524125"/>
            <wp:effectExtent l="0" t="0" r="0" b="3175"/>
            <wp:docPr id="3" name="Draw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2"/>
                    <pic:cNvPicPr>
                      <a:picLocks noChangeAspect="1"/>
                    </pic:cNvPicPr>
                  </pic:nvPicPr>
                  <pic:blipFill>
                    <a:blip r:embed="rId8"/>
                    <a:stretch>
                      <a:fillRect/>
                    </a:stretch>
                  </pic:blipFill>
                  <pic:spPr>
                    <a:xfrm>
                      <a:off x="0" y="0"/>
                      <a:ext cx="5257800" cy="25241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4 金融机构开函成功接口流程示意图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bankservice/bh/api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ELY102</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金融机构开函成功后向金融服务平台推送开函结果</w:t>
            </w:r>
          </w:p>
        </w:tc>
      </w:tr>
    </w:tbl>
    <w:p>
      <w:pPr>
        <w:numPr>
          <w:ilvl w:val="0"/>
          <w:numId w:val="54"/>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申请编号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保函申请订单的唯一编号</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applicationStatus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保函申请状态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01 保函审批通过</w:t>
            </w:r>
          </w:p>
          <w:p>
            <w:pPr>
              <w:spacing w:before="120" w:after="120" w:line="288" w:lineRule="auto"/>
              <w:ind w:left="0"/>
              <w:jc w:val="left"/>
            </w:pPr>
            <w:r>
              <w:rPr>
                <w:rFonts w:ascii="Arial" w:hAnsi="Arial" w:eastAsia="等线" w:cs="Arial"/>
                <w:color w:val="1F2329"/>
                <w:sz w:val="22"/>
              </w:rPr>
              <w:t>02 保函审批拒绝</w:t>
            </w:r>
          </w:p>
          <w:p>
            <w:pPr>
              <w:spacing w:before="120" w:after="120" w:line="288" w:lineRule="auto"/>
              <w:ind w:left="0"/>
              <w:jc w:val="left"/>
            </w:pPr>
            <w:r>
              <w:rPr>
                <w:rFonts w:ascii="Arial" w:hAnsi="Arial" w:eastAsia="等线" w:cs="Arial"/>
                <w:color w:val="1F2329"/>
                <w:sz w:val="22"/>
              </w:rPr>
              <w:t>03 开函成功</w:t>
            </w:r>
          </w:p>
          <w:p>
            <w:pPr>
              <w:spacing w:before="120" w:after="120" w:line="288" w:lineRule="auto"/>
              <w:ind w:left="0"/>
              <w:jc w:val="left"/>
            </w:pPr>
            <w:r>
              <w:rPr>
                <w:rFonts w:ascii="Arial" w:hAnsi="Arial" w:eastAsia="等线" w:cs="Arial"/>
                <w:color w:val="1F2329"/>
                <w:sz w:val="22"/>
              </w:rPr>
              <w:t>04 开函失败</w:t>
            </w:r>
          </w:p>
          <w:p>
            <w:pPr>
              <w:spacing w:before="120" w:after="120" w:line="288" w:lineRule="auto"/>
              <w:ind w:left="0"/>
              <w:jc w:val="left"/>
            </w:pPr>
            <w:r>
              <w:rPr>
                <w:rFonts w:ascii="Arial" w:hAnsi="Arial" w:eastAsia="等线" w:cs="Arial"/>
                <w:color w:val="1F2329"/>
                <w:sz w:val="22"/>
              </w:rPr>
              <w:t>05已支付</w:t>
            </w:r>
          </w:p>
          <w:p>
            <w:pPr>
              <w:spacing w:before="120" w:after="120" w:line="288" w:lineRule="auto"/>
              <w:ind w:left="0"/>
              <w:jc w:val="left"/>
            </w:pPr>
            <w:r>
              <w:rPr>
                <w:rFonts w:ascii="Arial" w:hAnsi="Arial" w:eastAsia="等线" w:cs="Arial"/>
                <w:color w:val="1F2329"/>
                <w:sz w:val="22"/>
              </w:rPr>
              <w:t>06订单取消失败</w:t>
            </w:r>
          </w:p>
          <w:p>
            <w:pPr>
              <w:spacing w:before="120" w:after="120" w:line="288" w:lineRule="auto"/>
              <w:ind w:left="0"/>
              <w:jc w:val="left"/>
            </w:pPr>
            <w:r>
              <w:rPr>
                <w:rFonts w:ascii="Arial" w:hAnsi="Arial" w:eastAsia="等线" w:cs="Arial"/>
                <w:color w:val="1F2329"/>
                <w:sz w:val="22"/>
              </w:rPr>
              <w:t>07已取消</w:t>
            </w:r>
          </w:p>
          <w:p>
            <w:pPr>
              <w:spacing w:before="120" w:after="120" w:line="288" w:lineRule="auto"/>
              <w:ind w:left="0"/>
              <w:jc w:val="left"/>
            </w:pPr>
            <w:r>
              <w:rPr>
                <w:rFonts w:ascii="Arial" w:hAnsi="Arial" w:eastAsia="等线" w:cs="Arial"/>
                <w:color w:val="1F2329"/>
                <w:sz w:val="22"/>
              </w:rPr>
              <w:t>08已退保</w:t>
            </w:r>
          </w:p>
          <w:p>
            <w:pPr>
              <w:spacing w:before="120" w:after="120" w:line="288" w:lineRule="auto"/>
              <w:ind w:left="0"/>
              <w:jc w:val="left"/>
            </w:pPr>
            <w:r>
              <w:rPr>
                <w:rFonts w:ascii="Arial" w:hAnsi="Arial" w:eastAsia="等线" w:cs="Arial"/>
                <w:color w:val="1F2329"/>
                <w:sz w:val="22"/>
              </w:rPr>
              <w:t>09退保失败</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failReason</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失败原因</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当审批拒绝或开函失败时，此值为必填项</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7245" w:type="dxa"/>
            <w:gridSpan w:val="7"/>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以下字段当开函成功时有值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开函机构生成保函唯一标识</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guaranteeAmt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担保金额</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保留2位小数点</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7</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validTimeStart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保函生效时间起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validTimeEnd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保函生效时间止</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9</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letterOfTime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出函时间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companyName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企业名称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11</w:t>
            </w:r>
          </w:p>
        </w:tc>
        <w:tc>
          <w:tcPr>
            <w:tcW w:w="7245" w:type="dxa"/>
            <w:gridSpan w:val="7"/>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以下字段当支付成功时有值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支付时间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payAmt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支付金额</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精确到小数点后两位小数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payType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支付方式</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01 网银转账 02 微信支付 03 支付宝支付 04 其他支付方式</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p>
    <w:p>
      <w:pPr>
        <w:spacing w:before="320" w:after="120" w:line="288" w:lineRule="auto"/>
        <w:ind w:left="453"/>
        <w:jc w:val="left"/>
        <w:outlineLvl w:val="1"/>
      </w:pPr>
      <w:r>
        <w:rPr>
          <w:rFonts w:ascii="Arial" w:hAnsi="Arial" w:eastAsia="等线" w:cs="Arial"/>
          <w:color w:val="3370FF"/>
          <w:sz w:val="32"/>
        </w:rPr>
        <w:t xml:space="preserve">10.3 </w:t>
      </w:r>
      <w:r>
        <w:rPr>
          <w:rFonts w:ascii="Arial" w:hAnsi="Arial" w:eastAsia="等线" w:cs="Arial"/>
          <w:b/>
          <w:color w:val="1F2329"/>
          <w:sz w:val="32"/>
        </w:rPr>
        <w:t>保函文件查询</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4" name="Draw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3"/>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5 电子保函文件获取流程示意图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ELY103</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开函成功后金融服务平台根据金融机构返回的文件ID向金融机构获取保函文件</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备注</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该接口采用数字信封方式进行数据传输，详见9.3.3</w:t>
            </w:r>
          </w:p>
        </w:tc>
      </w:tr>
    </w:tbl>
    <w:p>
      <w:pPr>
        <w:numPr>
          <w:ilvl w:val="0"/>
          <w:numId w:val="55"/>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申请编号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保函申请订单的唯一编号</w:t>
            </w:r>
          </w:p>
        </w:tc>
        <w:tc>
          <w:tcPr>
            <w:tcW w:w="1035" w:type="dxa"/>
            <w:tcMar>
              <w:top w:w="60" w:type="dxa"/>
              <w:left w:w="120" w:type="dxa"/>
              <w:bottom w:w="30" w:type="dxa"/>
              <w:right w:w="120" w:type="dxa"/>
            </w:tcMar>
          </w:tcPr>
          <w:p>
            <w:pPr>
              <w:spacing w:before="120" w:after="120" w:line="288" w:lineRule="auto"/>
              <w:ind w:left="0"/>
              <w:jc w:val="left"/>
            </w:pPr>
          </w:p>
        </w:tc>
      </w:tr>
    </w:tbl>
    <w:p>
      <w:pPr>
        <w:numPr>
          <w:ilvl w:val="0"/>
          <w:numId w:val="56"/>
        </w:numPr>
        <w:spacing w:before="120" w:after="120" w:line="288" w:lineRule="auto"/>
        <w:ind w:left="0"/>
        <w:jc w:val="left"/>
      </w:pPr>
      <w:r>
        <w:rPr>
          <w:rFonts w:ascii="Arial" w:hAnsi="Arial" w:eastAsia="等线" w:cs="Arial"/>
          <w:b/>
          <w:color w:val="1F2329"/>
          <w:sz w:val="22"/>
        </w:rPr>
        <w:t>响应值描述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guaranteeFileName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文件名</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文件名必须带.pdf后缀</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“保函文件20230101.pdf”</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guaranteeFileContext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电子保函文本</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（BASE64必须是此方法，不可修改）</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方法：java.util.Base64.Decoder decoder = Base64.getDecoder();</w:t>
            </w:r>
          </w:p>
        </w:tc>
      </w:tr>
    </w:tbl>
    <w:p>
      <w:pPr>
        <w:spacing w:before="320" w:after="120" w:line="288" w:lineRule="auto"/>
        <w:ind w:left="0"/>
        <w:jc w:val="left"/>
        <w:outlineLvl w:val="1"/>
      </w:pPr>
      <w:r>
        <w:rPr>
          <w:rFonts w:ascii="Arial" w:hAnsi="Arial" w:eastAsia="等线" w:cs="Arial"/>
          <w:color w:val="3370FF"/>
          <w:sz w:val="32"/>
        </w:rPr>
        <w:t xml:space="preserve">10.4 </w:t>
      </w:r>
      <w:r>
        <w:rPr>
          <w:rFonts w:ascii="Arial" w:hAnsi="Arial" w:eastAsia="等线" w:cs="Arial"/>
          <w:b/>
          <w:color w:val="1F2329"/>
          <w:sz w:val="32"/>
        </w:rPr>
        <w:t>保函验真</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5" name="Draw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4"/>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6 保函验真通知接口流程示意图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ELY104</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金融服务平台向金融机构发起电子保函签名服务，查验保函文件真伪，验证签名有效性</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备注</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该接口采用数字信封方式进行数据传输，详见9.3.3</w:t>
            </w:r>
          </w:p>
        </w:tc>
      </w:tr>
    </w:tbl>
    <w:p>
      <w:pPr>
        <w:numPr>
          <w:ilvl w:val="0"/>
          <w:numId w:val="57"/>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guaranteeData</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保函文件</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text</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Base64文件流</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status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验签状态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01:验证成功</w:t>
            </w:r>
          </w:p>
          <w:p>
            <w:pPr>
              <w:spacing w:before="120" w:after="120" w:line="288" w:lineRule="auto"/>
              <w:ind w:left="0"/>
              <w:jc w:val="left"/>
            </w:pPr>
            <w:r>
              <w:rPr>
                <w:rFonts w:ascii="Arial" w:hAnsi="Arial" w:eastAsia="等线" w:cs="Arial"/>
                <w:color w:val="1F2329"/>
                <w:sz w:val="22"/>
              </w:rPr>
              <w:t>02:验证失败</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certNum</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证书序列号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150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certOwner</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证书所有者</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7</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certBeginTime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证书有效期开始时间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certEndTime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证书有效期截止时间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9</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certAuthor</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证书颁发者</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signTime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签章时间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10.5 </w:t>
      </w:r>
      <w:r>
        <w:rPr>
          <w:rFonts w:ascii="Arial" w:hAnsi="Arial" w:eastAsia="等线" w:cs="Arial"/>
          <w:b/>
          <w:color w:val="1F2329"/>
          <w:sz w:val="32"/>
        </w:rPr>
        <w:t>索赔申请推送</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6" name="Draw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rawing 5"/>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7 索赔申请推送接口流程示意图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ELY105</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采购人向金融机构发起索赔申请，金融服务平台向对应的金融机构提交索赔信息</w:t>
            </w:r>
          </w:p>
        </w:tc>
      </w:tr>
    </w:tbl>
    <w:p>
      <w:pPr>
        <w:numPr>
          <w:ilvl w:val="0"/>
          <w:numId w:val="58"/>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bidNum</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标段标号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128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projectName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项目名称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128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projectCode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政府采购统一项目编号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政府采购统一项目编号</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companyName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企业名称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投保企业名称</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socialCreditCode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企业统一社会信用代码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投保企业统一社会信用代码</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7</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purchaseName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采购人名称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受益人</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purchaseSocCode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采购人组织机构代码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受益人组织机构代码/统一社会信用代码</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9</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claimAmount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索赔金额</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保留2位小数点</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claimReason</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索赔理由</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索赔理由</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openBank</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索赔机构开户行</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bankAccount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索赔机构开户账户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contract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索赔发起人</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经办人</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contractway</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发起人联系方式</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经办人联系方式</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contractCertCode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发起人身份证号码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18</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经办人身份证号码</w:t>
            </w:r>
          </w:p>
        </w:tc>
        <w:tc>
          <w:tcPr>
            <w:tcW w:w="1035" w:type="dxa"/>
            <w:tcMar>
              <w:top w:w="60" w:type="dxa"/>
              <w:left w:w="120" w:type="dxa"/>
              <w:bottom w:w="30" w:type="dxa"/>
              <w:right w:w="120" w:type="dxa"/>
            </w:tcMar>
          </w:tcPr>
          <w:p>
            <w:pPr>
              <w:spacing w:before="120" w:after="120" w:line="288" w:lineRule="auto"/>
              <w:ind w:left="0"/>
              <w:jc w:val="left"/>
            </w:pPr>
          </w:p>
        </w:tc>
      </w:tr>
    </w:tbl>
    <w:p>
      <w:pPr>
        <w:numPr>
          <w:ilvl w:val="0"/>
          <w:numId w:val="59"/>
        </w:numPr>
        <w:spacing w:before="120" w:after="120" w:line="288" w:lineRule="auto"/>
        <w:ind w:left="0"/>
        <w:jc w:val="left"/>
      </w:pPr>
      <w:r>
        <w:rPr>
          <w:rFonts w:ascii="Arial" w:hAnsi="Arial" w:eastAsia="等线" w:cs="Arial"/>
          <w:b/>
          <w:color w:val="1F2329"/>
          <w:sz w:val="22"/>
        </w:rPr>
        <w:t>响应值描述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10.6 </w:t>
      </w:r>
      <w:r>
        <w:rPr>
          <w:rFonts w:ascii="Arial" w:hAnsi="Arial" w:eastAsia="等线" w:cs="Arial"/>
          <w:b/>
          <w:color w:val="1F2329"/>
          <w:sz w:val="32"/>
        </w:rPr>
        <w:t>理赔结果通知</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524125"/>
            <wp:effectExtent l="0" t="0" r="0" b="3175"/>
            <wp:docPr id="7" name="Draw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rawing 6"/>
                    <pic:cNvPicPr>
                      <a:picLocks noChangeAspect="1"/>
                    </pic:cNvPicPr>
                  </pic:nvPicPr>
                  <pic:blipFill>
                    <a:blip r:embed="rId8"/>
                    <a:stretch>
                      <a:fillRect/>
                    </a:stretch>
                  </pic:blipFill>
                  <pic:spPr>
                    <a:xfrm>
                      <a:off x="0" y="0"/>
                      <a:ext cx="5257800" cy="25241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8 金融机构理赔结果通知接口流程示意图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bankservice/bh/api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ELY106</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金融机构开函成功后向金融服务平台推送理赔结果</w:t>
            </w:r>
          </w:p>
        </w:tc>
      </w:tr>
    </w:tbl>
    <w:p>
      <w:pPr>
        <w:numPr>
          <w:ilvl w:val="0"/>
          <w:numId w:val="60"/>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开函机构生成保函唯一标识</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status</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理赔状态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00:理赔受理中</w:t>
            </w:r>
          </w:p>
          <w:p>
            <w:pPr>
              <w:spacing w:before="120" w:after="120" w:line="288" w:lineRule="auto"/>
              <w:ind w:left="0"/>
              <w:jc w:val="left"/>
            </w:pPr>
            <w:r>
              <w:rPr>
                <w:rFonts w:ascii="Arial" w:hAnsi="Arial" w:eastAsia="等线" w:cs="Arial"/>
                <w:color w:val="1F2329"/>
                <w:sz w:val="22"/>
              </w:rPr>
              <w:t>01:理赔成功</w:t>
            </w:r>
          </w:p>
          <w:p>
            <w:pPr>
              <w:spacing w:before="120" w:after="120" w:line="288" w:lineRule="auto"/>
              <w:ind w:left="0"/>
              <w:jc w:val="left"/>
            </w:pPr>
            <w:r>
              <w:rPr>
                <w:rFonts w:ascii="Arial" w:hAnsi="Arial" w:eastAsia="等线" w:cs="Arial"/>
                <w:color w:val="1F2329"/>
                <w:sz w:val="22"/>
              </w:rPr>
              <w:t>02:理赔失败</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paymentMoney</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理赔金额</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单位：元</w:t>
            </w:r>
          </w:p>
          <w:p>
            <w:pPr>
              <w:spacing w:before="120" w:after="120" w:line="288" w:lineRule="auto"/>
              <w:ind w:left="0"/>
              <w:jc w:val="left"/>
            </w:pPr>
            <w:r>
              <w:rPr>
                <w:rFonts w:ascii="Arial" w:hAnsi="Arial" w:eastAsia="等线" w:cs="Arial"/>
                <w:color w:val="1F2329"/>
                <w:sz w:val="22"/>
              </w:rPr>
              <w:t>保留2位小数点</w:t>
            </w:r>
          </w:p>
          <w:p>
            <w:pPr>
              <w:spacing w:before="120" w:after="120" w:line="288" w:lineRule="auto"/>
              <w:ind w:left="0"/>
              <w:jc w:val="left"/>
            </w:pPr>
            <w:r>
              <w:rPr>
                <w:rFonts w:ascii="Arial" w:hAnsi="Arial" w:eastAsia="等线" w:cs="Arial"/>
                <w:color w:val="1F2329"/>
                <w:sz w:val="22"/>
              </w:rPr>
              <w:t>理赔成功时有值</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paymentBeneficiary</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理赔受益人</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paymentBeneficiarySocial</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理赔受益人组织机构代码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paymentTime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理赔时间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理赔成功时有值（yyyy-MM-dd hh:mm:ss）</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10.7 </w:t>
      </w:r>
      <w:r>
        <w:rPr>
          <w:rFonts w:ascii="Arial" w:hAnsi="Arial" w:eastAsia="等线" w:cs="Arial"/>
          <w:b/>
          <w:color w:val="1F2329"/>
          <w:sz w:val="32"/>
        </w:rPr>
        <w:t>保函失效通知</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8" name="Draw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rawing 7"/>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9 保函失效通知接口流程示意图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ELY107</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金融服务平台向金融机构发起电子保函失效通知</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备注</w:t>
            </w:r>
          </w:p>
        </w:tc>
        <w:tc>
          <w:tcPr>
            <w:tcW w:w="4140" w:type="dxa"/>
            <w:tcMar>
              <w:top w:w="60" w:type="dxa"/>
              <w:left w:w="120" w:type="dxa"/>
              <w:bottom w:w="30" w:type="dxa"/>
              <w:right w:w="120" w:type="dxa"/>
            </w:tcMar>
          </w:tcPr>
          <w:p>
            <w:pPr>
              <w:spacing w:before="120" w:after="120" w:line="288" w:lineRule="auto"/>
              <w:ind w:left="0"/>
              <w:jc w:val="left"/>
            </w:pPr>
          </w:p>
        </w:tc>
      </w:tr>
    </w:tbl>
    <w:p>
      <w:pPr>
        <w:numPr>
          <w:ilvl w:val="0"/>
          <w:numId w:val="61"/>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invalidTime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保函失效时间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invalidType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保函失效类型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0：项目履约完成（采购人发起）</w:t>
            </w:r>
          </w:p>
          <w:p>
            <w:pPr>
              <w:spacing w:before="120" w:after="120" w:line="288" w:lineRule="auto"/>
              <w:ind w:left="0"/>
              <w:jc w:val="left"/>
            </w:pPr>
            <w:r>
              <w:rPr>
                <w:rFonts w:ascii="Arial" w:hAnsi="Arial" w:eastAsia="等线" w:cs="Arial"/>
                <w:color w:val="1F2329"/>
                <w:sz w:val="22"/>
              </w:rPr>
              <w:t>1：保函文件格式错误（采购人发起）</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remark</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预留字段</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text</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1024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10.8 </w:t>
      </w:r>
      <w:r>
        <w:rPr>
          <w:rFonts w:ascii="Arial" w:hAnsi="Arial" w:eastAsia="等线" w:cs="Arial"/>
          <w:b/>
          <w:color w:val="1F2329"/>
          <w:sz w:val="32"/>
        </w:rPr>
        <w:t>保函注销结果推送</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524125"/>
            <wp:effectExtent l="0" t="0" r="0" b="3175"/>
            <wp:docPr id="9" name="Draw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rawing 8"/>
                    <pic:cNvPicPr>
                      <a:picLocks noChangeAspect="1"/>
                    </pic:cNvPicPr>
                  </pic:nvPicPr>
                  <pic:blipFill>
                    <a:blip r:embed="rId8"/>
                    <a:stretch>
                      <a:fillRect/>
                    </a:stretch>
                  </pic:blipFill>
                  <pic:spPr>
                    <a:xfrm>
                      <a:off x="0" y="0"/>
                      <a:ext cx="5257800" cy="25241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10 金融机构理赔结果通知接口流程示意图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https://{www.***.com}/ bankservice/bh/api</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ELY108</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金融机构将已注销的保函结果推送至金融服务平台</w:t>
            </w:r>
          </w:p>
        </w:tc>
      </w:tr>
    </w:tbl>
    <w:p>
      <w:pPr>
        <w:numPr>
          <w:ilvl w:val="0"/>
          <w:numId w:val="62"/>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guaranteeId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保函唯一标识</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开函机构生成保函唯一标识</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cancelDate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注销时间</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yyyy-MM-dd hh:mm:ss</w:t>
            </w:r>
          </w:p>
        </w:tc>
        <w:tc>
          <w:tcPr>
            <w:tcW w:w="1035" w:type="dxa"/>
            <w:tcMar>
              <w:top w:w="60" w:type="dxa"/>
              <w:left w:w="120" w:type="dxa"/>
              <w:bottom w:w="30" w:type="dxa"/>
              <w:right w:w="120" w:type="dxa"/>
            </w:tcMar>
          </w:tcPr>
          <w:p>
            <w:pPr>
              <w:spacing w:before="120" w:after="120" w:line="288" w:lineRule="auto"/>
              <w:ind w:left="0"/>
              <w:jc w:val="left"/>
            </w:pP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cancelNotice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注销通知文本</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保函注销通知文本</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320" w:after="120" w:line="288" w:lineRule="auto"/>
        <w:ind w:left="0"/>
        <w:jc w:val="left"/>
        <w:outlineLvl w:val="1"/>
      </w:pPr>
      <w:r>
        <w:rPr>
          <w:rFonts w:ascii="Arial" w:hAnsi="Arial" w:eastAsia="等线" w:cs="Arial"/>
          <w:color w:val="3370FF"/>
          <w:sz w:val="32"/>
        </w:rPr>
        <w:t xml:space="preserve">10.9 </w:t>
      </w:r>
      <w:r>
        <w:rPr>
          <w:rFonts w:ascii="Arial" w:hAnsi="Arial" w:eastAsia="等线" w:cs="Arial"/>
          <w:b/>
          <w:color w:val="1F2329"/>
          <w:sz w:val="32"/>
        </w:rPr>
        <w:t>提交取消订单/退保申请信息</w:t>
      </w:r>
    </w:p>
    <w:p>
      <w:pPr>
        <w:spacing w:before="120" w:after="120" w:line="288" w:lineRule="auto"/>
        <w:ind w:left="0" w:firstLine="420"/>
        <w:jc w:val="left"/>
      </w:pPr>
      <w:r>
        <w:rPr>
          <w:rFonts w:ascii="Arial" w:hAnsi="Arial" w:eastAsia="等线" w:cs="Arial"/>
          <w:color w:val="1F2329"/>
          <w:sz w:val="22"/>
        </w:rPr>
        <w:t>交互流程如图：</w:t>
      </w:r>
    </w:p>
    <w:p>
      <w:pPr>
        <w:spacing w:before="120" w:after="120" w:line="288" w:lineRule="auto"/>
        <w:ind w:left="0"/>
        <w:jc w:val="center"/>
      </w:pPr>
      <w:r>
        <w:drawing>
          <wp:inline distT="0" distB="0" distL="0" distR="0">
            <wp:extent cx="5257800" cy="2486025"/>
            <wp:effectExtent l="0" t="0" r="0" b="3175"/>
            <wp:docPr id="10" name="Draw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9"/>
                    <pic:cNvPicPr>
                      <a:picLocks noChangeAspect="1"/>
                    </pic:cNvPicPr>
                  </pic:nvPicPr>
                  <pic:blipFill>
                    <a:blip r:embed="rId7"/>
                    <a:stretch>
                      <a:fillRect/>
                    </a:stretch>
                  </pic:blipFill>
                  <pic:spPr>
                    <a:xfrm>
                      <a:off x="0" y="0"/>
                      <a:ext cx="5257800" cy="2486025"/>
                    </a:xfrm>
                    <a:prstGeom prst="rect">
                      <a:avLst/>
                    </a:prstGeom>
                  </pic:spPr>
                </pic:pic>
              </a:graphicData>
            </a:graphic>
          </wp:inline>
        </w:drawing>
      </w:r>
    </w:p>
    <w:p>
      <w:pPr>
        <w:spacing w:before="120" w:after="120" w:line="288" w:lineRule="auto"/>
        <w:ind w:left="0" w:firstLine="0"/>
        <w:jc w:val="center"/>
      </w:pPr>
      <w:r>
        <w:rPr>
          <w:rFonts w:ascii="Arial" w:hAnsi="Arial" w:eastAsia="等线" w:cs="Arial"/>
          <w:color w:val="1F2329"/>
          <w:sz w:val="22"/>
        </w:rPr>
        <w:t>图 11 取消/退保接口流程示意图</w:t>
      </w:r>
    </w:p>
    <w:p>
      <w:pPr>
        <w:spacing w:before="120" w:after="120" w:line="288" w:lineRule="auto"/>
        <w:ind w:left="0" w:firstLine="0"/>
        <w:jc w:val="left"/>
      </w:pP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4140"/>
        <w:gridCol w:w="414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接口调用地址</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接口地址由金融机构提供</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接口交易码</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ELY109</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接口提供者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金融机构</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接口消费者</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政府采购金融服务平台</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功能描述</w:t>
            </w:r>
          </w:p>
        </w:tc>
        <w:tc>
          <w:tcPr>
            <w:tcW w:w="414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供应商发起取消/退保申请，金融机构接受到申请后无需在本接口返回业务处理结果</w:t>
            </w:r>
          </w:p>
        </w:tc>
      </w:tr>
    </w:tbl>
    <w:p>
      <w:pPr>
        <w:spacing w:before="120" w:after="120" w:line="288" w:lineRule="auto"/>
        <w:ind w:left="0" w:firstLine="0"/>
        <w:jc w:val="left"/>
      </w:pPr>
    </w:p>
    <w:p>
      <w:pPr>
        <w:numPr>
          <w:ilvl w:val="0"/>
          <w:numId w:val="63"/>
        </w:numPr>
        <w:spacing w:before="120" w:after="120" w:line="288" w:lineRule="auto"/>
        <w:ind w:left="0"/>
        <w:jc w:val="left"/>
      </w:pPr>
      <w:r>
        <w:rPr>
          <w:rFonts w:ascii="Arial" w:hAnsi="Arial" w:eastAsia="等线" w:cs="Arial"/>
          <w:b/>
          <w:color w:val="1F2329"/>
          <w:sz w:val="22"/>
        </w:rPr>
        <w:t>请求参数描述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applicationId</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申请编号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64</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履约保函申请订单的唯一编号</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applicationType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申请类型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01 退保；02 订单取消</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refundReason</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原因</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420"/>
        <w:jc w:val="left"/>
      </w:pPr>
      <w:r>
        <w:rPr>
          <w:rFonts w:ascii="Arial" w:hAnsi="Arial" w:eastAsia="等线" w:cs="Arial"/>
          <w:b/>
          <w:color w:val="1F2329"/>
          <w:sz w:val="22"/>
        </w:rPr>
        <w:t>响应参数：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035"/>
        <w:gridCol w:w="1035"/>
        <w:gridCol w:w="1035"/>
        <w:gridCol w:w="1035"/>
        <w:gridCol w:w="1035"/>
        <w:gridCol w:w="1035"/>
        <w:gridCol w:w="1035"/>
        <w:gridCol w:w="1035"/>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名称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类型</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参数</w:t>
            </w:r>
          </w:p>
          <w:p>
            <w:pPr>
              <w:spacing w:before="120" w:after="120" w:line="288" w:lineRule="auto"/>
              <w:ind w:left="0"/>
              <w:jc w:val="center"/>
            </w:pPr>
            <w:r>
              <w:rPr>
                <w:rFonts w:ascii="Arial" w:hAnsi="Arial" w:eastAsia="等线" w:cs="Arial"/>
                <w:b/>
                <w:color w:val="1F2329"/>
                <w:sz w:val="22"/>
              </w:rPr>
              <w:t>长度</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必填</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说明</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示例值</w:t>
            </w: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code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响应状态</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Y</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000表示成功，其他均为失败</w:t>
            </w:r>
          </w:p>
          <w:p>
            <w:pPr>
              <w:spacing w:before="120" w:after="120" w:line="288" w:lineRule="auto"/>
              <w:ind w:left="0"/>
              <w:jc w:val="left"/>
            </w:pPr>
            <w:r>
              <w:rPr>
                <w:rFonts w:ascii="Arial" w:hAnsi="Arial" w:eastAsia="等线" w:cs="Arial"/>
                <w:color w:val="1F2329"/>
                <w:sz w:val="22"/>
              </w:rPr>
              <w:t>参照11.1</w:t>
            </w:r>
          </w:p>
        </w:tc>
        <w:tc>
          <w:tcPr>
            <w:tcW w:w="1035" w:type="dxa"/>
            <w:tcMar>
              <w:top w:w="60" w:type="dxa"/>
              <w:left w:w="120" w:type="dxa"/>
              <w:bottom w:w="30" w:type="dxa"/>
              <w:right w:w="120" w:type="dxa"/>
            </w:tcMar>
          </w:tcPr>
          <w:p>
            <w:pPr>
              <w:spacing w:before="120" w:after="120" w:line="288" w:lineRule="auto"/>
              <w:ind w:left="0"/>
              <w:jc w:val="left"/>
            </w:pPr>
          </w:p>
        </w:tc>
      </w:tr>
      <w:tr>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message</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响应描述</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string</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200</w:t>
            </w:r>
          </w:p>
        </w:tc>
        <w:tc>
          <w:tcPr>
            <w:tcW w:w="1035"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N</w:t>
            </w:r>
          </w:p>
        </w:tc>
        <w:tc>
          <w:tcPr>
            <w:tcW w:w="1035"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如果响应失败，则为失败的描述</w:t>
            </w:r>
          </w:p>
        </w:tc>
        <w:tc>
          <w:tcPr>
            <w:tcW w:w="1035" w:type="dxa"/>
            <w:tcMar>
              <w:top w:w="60" w:type="dxa"/>
              <w:left w:w="120" w:type="dxa"/>
              <w:bottom w:w="30" w:type="dxa"/>
              <w:right w:w="120" w:type="dxa"/>
            </w:tcMar>
          </w:tcPr>
          <w:p>
            <w:pPr>
              <w:spacing w:before="120" w:after="120" w:line="288" w:lineRule="auto"/>
              <w:ind w:left="0"/>
              <w:jc w:val="left"/>
            </w:pPr>
          </w:p>
        </w:tc>
      </w:tr>
    </w:tbl>
    <w:p>
      <w:pPr>
        <w:spacing w:before="120" w:after="120" w:line="288" w:lineRule="auto"/>
        <w:ind w:left="0" w:firstLine="0"/>
        <w:jc w:val="left"/>
      </w:pPr>
    </w:p>
    <w:p>
      <w:pPr>
        <w:spacing w:before="380" w:after="140" w:line="288" w:lineRule="auto"/>
        <w:ind w:left="0"/>
        <w:jc w:val="left"/>
        <w:outlineLvl w:val="0"/>
      </w:pPr>
      <w:r>
        <w:rPr>
          <w:rFonts w:ascii="Arial" w:hAnsi="Arial" w:eastAsia="等线" w:cs="Arial"/>
          <w:color w:val="3370FF"/>
          <w:sz w:val="36"/>
        </w:rPr>
        <w:t xml:space="preserve">11. </w:t>
      </w:r>
      <w:r>
        <w:rPr>
          <w:rFonts w:ascii="Arial" w:hAnsi="Arial" w:eastAsia="等线" w:cs="Arial"/>
          <w:b/>
          <w:color w:val="1F2329"/>
          <w:sz w:val="36"/>
        </w:rPr>
        <w:t>代码字典</w:t>
      </w:r>
    </w:p>
    <w:p>
      <w:pPr>
        <w:spacing w:before="320" w:after="120" w:line="288" w:lineRule="auto"/>
        <w:ind w:left="453"/>
        <w:jc w:val="left"/>
        <w:outlineLvl w:val="1"/>
      </w:pPr>
      <w:r>
        <w:rPr>
          <w:rFonts w:ascii="Arial" w:hAnsi="Arial" w:eastAsia="等线" w:cs="Arial"/>
          <w:color w:val="3370FF"/>
          <w:sz w:val="32"/>
        </w:rPr>
        <w:t xml:space="preserve">11.1 </w:t>
      </w:r>
      <w:r>
        <w:rPr>
          <w:rFonts w:ascii="Arial" w:hAnsi="Arial" w:eastAsia="等线" w:cs="Arial"/>
          <w:b/>
          <w:color w:val="1F2329"/>
          <w:sz w:val="32"/>
        </w:rPr>
        <w:t>错误码描述</w:t>
      </w:r>
    </w:p>
    <w:tbl>
      <w:tblPr>
        <w:tblStyle w:val="3"/>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2760"/>
        <w:gridCol w:w="2760"/>
        <w:gridCol w:w="2760"/>
      </w:tblGrid>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序号</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b/>
                <w:color w:val="1F2329"/>
                <w:sz w:val="22"/>
              </w:rPr>
              <w:t>错误码</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b/>
                <w:color w:val="1F2329"/>
                <w:sz w:val="22"/>
              </w:rPr>
              <w:t>错误信息</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000</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成功(其他代码都为失败)</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101</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数据接收失败，数据验签未通过</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102</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数据接收失败，数据解密失败</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4</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103</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数据接收失败，请求参数校验未通过</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5</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201</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业务处理失败，项目编号不存在</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6</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202</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业务处理失败，合同编号不存在</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7</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203</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业务处理失败，保函唯一标识/保函申请编号不存在</w:t>
            </w:r>
          </w:p>
        </w:tc>
      </w:tr>
      <w:tr>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8</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204</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业务处理失败，供应商信息不存在</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9</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301</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系统服务暂停，请稍侯</w:t>
            </w:r>
          </w:p>
        </w:tc>
      </w:tr>
      <w:tr>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10</w:t>
            </w:r>
          </w:p>
        </w:tc>
        <w:tc>
          <w:tcPr>
            <w:tcW w:w="2760" w:type="dxa"/>
            <w:tcMar>
              <w:top w:w="60" w:type="dxa"/>
              <w:left w:w="120" w:type="dxa"/>
              <w:bottom w:w="30" w:type="dxa"/>
              <w:right w:w="120" w:type="dxa"/>
            </w:tcMar>
          </w:tcPr>
          <w:p>
            <w:pPr>
              <w:spacing w:before="120" w:after="120" w:line="288" w:lineRule="auto"/>
              <w:ind w:left="0"/>
              <w:jc w:val="center"/>
            </w:pPr>
            <w:r>
              <w:rPr>
                <w:rFonts w:ascii="Arial" w:hAnsi="Arial" w:eastAsia="等线" w:cs="Arial"/>
                <w:color w:val="1F2329"/>
                <w:sz w:val="22"/>
              </w:rPr>
              <w:t>302</w:t>
            </w:r>
          </w:p>
        </w:tc>
        <w:tc>
          <w:tcPr>
            <w:tcW w:w="2760" w:type="dxa"/>
            <w:tcMar>
              <w:top w:w="60" w:type="dxa"/>
              <w:left w:w="120" w:type="dxa"/>
              <w:bottom w:w="30" w:type="dxa"/>
              <w:right w:w="120" w:type="dxa"/>
            </w:tcMar>
          </w:tcPr>
          <w:p>
            <w:pPr>
              <w:spacing w:before="120" w:after="120" w:line="288" w:lineRule="auto"/>
              <w:ind w:left="0"/>
              <w:jc w:val="left"/>
            </w:pPr>
            <w:r>
              <w:rPr>
                <w:rFonts w:ascii="Arial" w:hAnsi="Arial" w:eastAsia="等线" w:cs="Arial"/>
                <w:color w:val="1F2329"/>
                <w:sz w:val="22"/>
              </w:rPr>
              <w:t>服务器异常</w:t>
            </w:r>
          </w:p>
        </w:tc>
      </w:tr>
    </w:tbl>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A4B87"/>
    <w:multiLevelType w:val="singleLevel"/>
    <w:tmpl w:val="813A4B87"/>
    <w:lvl w:ilvl="0" w:tentative="0">
      <w:start w:val="10"/>
      <w:numFmt w:val="decimal"/>
      <w:lvlText w:val="%1."/>
      <w:lvlJc w:val="left"/>
      <w:rPr>
        <w:color w:val="3370FF"/>
      </w:rPr>
    </w:lvl>
  </w:abstractNum>
  <w:abstractNum w:abstractNumId="1">
    <w:nsid w:val="845B5372"/>
    <w:multiLevelType w:val="singleLevel"/>
    <w:tmpl w:val="845B5372"/>
    <w:lvl w:ilvl="0" w:tentative="0">
      <w:start w:val="21"/>
      <w:numFmt w:val="decimal"/>
      <w:lvlText w:val="%1."/>
      <w:lvlJc w:val="left"/>
      <w:rPr>
        <w:color w:val="3370FF"/>
      </w:rPr>
    </w:lvl>
  </w:abstractNum>
  <w:abstractNum w:abstractNumId="2">
    <w:nsid w:val="8461FADE"/>
    <w:multiLevelType w:val="singleLevel"/>
    <w:tmpl w:val="8461FADE"/>
    <w:lvl w:ilvl="0" w:tentative="0">
      <w:start w:val="7"/>
      <w:numFmt w:val="decimal"/>
      <w:lvlText w:val="%1."/>
      <w:lvlJc w:val="left"/>
      <w:rPr>
        <w:color w:val="3370FF"/>
      </w:rPr>
    </w:lvl>
  </w:abstractNum>
  <w:abstractNum w:abstractNumId="3">
    <w:nsid w:val="8CAEB125"/>
    <w:multiLevelType w:val="singleLevel"/>
    <w:tmpl w:val="8CAEB125"/>
    <w:lvl w:ilvl="0" w:tentative="0">
      <w:start w:val="23"/>
      <w:numFmt w:val="decimal"/>
      <w:lvlText w:val="%1."/>
      <w:lvlJc w:val="left"/>
      <w:rPr>
        <w:color w:val="3370FF"/>
      </w:rPr>
    </w:lvl>
  </w:abstractNum>
  <w:abstractNum w:abstractNumId="4">
    <w:nsid w:val="91995D4F"/>
    <w:multiLevelType w:val="singleLevel"/>
    <w:tmpl w:val="91995D4F"/>
    <w:lvl w:ilvl="0" w:tentative="0">
      <w:start w:val="18"/>
      <w:numFmt w:val="decimal"/>
      <w:lvlText w:val="%1."/>
      <w:lvlJc w:val="left"/>
      <w:rPr>
        <w:color w:val="3370FF"/>
      </w:rPr>
    </w:lvl>
  </w:abstractNum>
  <w:abstractNum w:abstractNumId="5">
    <w:nsid w:val="9239341B"/>
    <w:multiLevelType w:val="singleLevel"/>
    <w:tmpl w:val="9239341B"/>
    <w:lvl w:ilvl="0" w:tentative="0">
      <w:start w:val="4"/>
      <w:numFmt w:val="decimal"/>
      <w:lvlText w:val="%1."/>
      <w:lvlJc w:val="left"/>
      <w:rPr>
        <w:color w:val="3370FF"/>
      </w:rPr>
    </w:lvl>
  </w:abstractNum>
  <w:abstractNum w:abstractNumId="6">
    <w:nsid w:val="9288B902"/>
    <w:multiLevelType w:val="singleLevel"/>
    <w:tmpl w:val="9288B902"/>
    <w:lvl w:ilvl="0" w:tentative="0">
      <w:start w:val="5"/>
      <w:numFmt w:val="decimal"/>
      <w:lvlText w:val="%1."/>
      <w:lvlJc w:val="left"/>
      <w:rPr>
        <w:color w:val="3370FF"/>
      </w:rPr>
    </w:lvl>
  </w:abstractNum>
  <w:abstractNum w:abstractNumId="7">
    <w:nsid w:val="9C8AC8EF"/>
    <w:multiLevelType w:val="singleLevel"/>
    <w:tmpl w:val="9C8AC8EF"/>
    <w:lvl w:ilvl="0" w:tentative="0">
      <w:start w:val="0"/>
      <w:numFmt w:val="bullet"/>
      <w:lvlText w:val="￮"/>
      <w:lvlJc w:val="left"/>
      <w:rPr>
        <w:color w:val="3370FF"/>
      </w:rPr>
    </w:lvl>
  </w:abstractNum>
  <w:abstractNum w:abstractNumId="8">
    <w:nsid w:val="B0F1ACD9"/>
    <w:multiLevelType w:val="singleLevel"/>
    <w:tmpl w:val="B0F1ACD9"/>
    <w:lvl w:ilvl="0" w:tentative="0">
      <w:start w:val="0"/>
      <w:numFmt w:val="bullet"/>
      <w:lvlText w:val="•"/>
      <w:lvlJc w:val="left"/>
      <w:rPr>
        <w:color w:val="3370FF"/>
      </w:rPr>
    </w:lvl>
  </w:abstractNum>
  <w:abstractNum w:abstractNumId="9">
    <w:nsid w:val="B53F3350"/>
    <w:multiLevelType w:val="singleLevel"/>
    <w:tmpl w:val="B53F3350"/>
    <w:lvl w:ilvl="0" w:tentative="0">
      <w:start w:val="0"/>
      <w:numFmt w:val="bullet"/>
      <w:lvlText w:val="•"/>
      <w:lvlJc w:val="left"/>
      <w:rPr>
        <w:color w:val="3370FF"/>
      </w:rPr>
    </w:lvl>
  </w:abstractNum>
  <w:abstractNum w:abstractNumId="10">
    <w:nsid w:val="B5E306ED"/>
    <w:multiLevelType w:val="singleLevel"/>
    <w:tmpl w:val="B5E306ED"/>
    <w:lvl w:ilvl="0" w:tentative="0">
      <w:start w:val="0"/>
      <w:numFmt w:val="bullet"/>
      <w:lvlText w:val="￮"/>
      <w:lvlJc w:val="left"/>
      <w:rPr>
        <w:color w:val="3370FF"/>
      </w:rPr>
    </w:lvl>
  </w:abstractNum>
  <w:abstractNum w:abstractNumId="11">
    <w:nsid w:val="B8CEF35B"/>
    <w:multiLevelType w:val="singleLevel"/>
    <w:tmpl w:val="B8CEF35B"/>
    <w:lvl w:ilvl="0" w:tentative="0">
      <w:start w:val="19"/>
      <w:numFmt w:val="decimal"/>
      <w:lvlText w:val="%1."/>
      <w:lvlJc w:val="left"/>
      <w:rPr>
        <w:color w:val="3370FF"/>
      </w:rPr>
    </w:lvl>
  </w:abstractNum>
  <w:abstractNum w:abstractNumId="12">
    <w:nsid w:val="BB64CFA9"/>
    <w:multiLevelType w:val="singleLevel"/>
    <w:tmpl w:val="BB64CFA9"/>
    <w:lvl w:ilvl="0" w:tentative="0">
      <w:start w:val="17"/>
      <w:numFmt w:val="decimal"/>
      <w:lvlText w:val="%1."/>
      <w:lvlJc w:val="left"/>
      <w:rPr>
        <w:color w:val="3370FF"/>
      </w:rPr>
    </w:lvl>
  </w:abstractNum>
  <w:abstractNum w:abstractNumId="13">
    <w:nsid w:val="BE923771"/>
    <w:multiLevelType w:val="singleLevel"/>
    <w:tmpl w:val="BE923771"/>
    <w:lvl w:ilvl="0" w:tentative="0">
      <w:start w:val="3"/>
      <w:numFmt w:val="decimal"/>
      <w:lvlText w:val="%1."/>
      <w:lvlJc w:val="left"/>
      <w:rPr>
        <w:color w:val="3370FF"/>
      </w:rPr>
    </w:lvl>
  </w:abstractNum>
  <w:abstractNum w:abstractNumId="14">
    <w:nsid w:val="BF205925"/>
    <w:multiLevelType w:val="singleLevel"/>
    <w:tmpl w:val="BF205925"/>
    <w:lvl w:ilvl="0" w:tentative="0">
      <w:start w:val="2"/>
      <w:numFmt w:val="decimal"/>
      <w:lvlText w:val="%1."/>
      <w:lvlJc w:val="left"/>
      <w:rPr>
        <w:color w:val="3370FF"/>
      </w:rPr>
    </w:lvl>
  </w:abstractNum>
  <w:abstractNum w:abstractNumId="15">
    <w:nsid w:val="C8879AEF"/>
    <w:multiLevelType w:val="singleLevel"/>
    <w:tmpl w:val="C8879AEF"/>
    <w:lvl w:ilvl="0" w:tentative="0">
      <w:start w:val="0"/>
      <w:numFmt w:val="bullet"/>
      <w:lvlText w:val="￮"/>
      <w:lvlJc w:val="left"/>
      <w:rPr>
        <w:color w:val="3370FF"/>
      </w:rPr>
    </w:lvl>
  </w:abstractNum>
  <w:abstractNum w:abstractNumId="16">
    <w:nsid w:val="CF092B84"/>
    <w:multiLevelType w:val="singleLevel"/>
    <w:tmpl w:val="CF092B84"/>
    <w:lvl w:ilvl="0" w:tentative="0">
      <w:start w:val="0"/>
      <w:numFmt w:val="bullet"/>
      <w:lvlText w:val="￮"/>
      <w:lvlJc w:val="left"/>
      <w:rPr>
        <w:color w:val="3370FF"/>
      </w:rPr>
    </w:lvl>
  </w:abstractNum>
  <w:abstractNum w:abstractNumId="17">
    <w:nsid w:val="D7D140E4"/>
    <w:multiLevelType w:val="singleLevel"/>
    <w:tmpl w:val="D7D140E4"/>
    <w:lvl w:ilvl="0" w:tentative="0">
      <w:start w:val="0"/>
      <w:numFmt w:val="bullet"/>
      <w:lvlText w:val="•"/>
      <w:lvlJc w:val="left"/>
      <w:rPr>
        <w:color w:val="3370FF"/>
      </w:rPr>
    </w:lvl>
  </w:abstractNum>
  <w:abstractNum w:abstractNumId="18">
    <w:nsid w:val="D7F9FE59"/>
    <w:multiLevelType w:val="singleLevel"/>
    <w:tmpl w:val="D7F9FE59"/>
    <w:lvl w:ilvl="0" w:tentative="0">
      <w:start w:val="0"/>
      <w:numFmt w:val="bullet"/>
      <w:lvlText w:val="￮"/>
      <w:lvlJc w:val="left"/>
      <w:rPr>
        <w:color w:val="3370FF"/>
      </w:rPr>
    </w:lvl>
  </w:abstractNum>
  <w:abstractNum w:abstractNumId="19">
    <w:nsid w:val="DCBA6B53"/>
    <w:multiLevelType w:val="singleLevel"/>
    <w:tmpl w:val="DCBA6B53"/>
    <w:lvl w:ilvl="0" w:tentative="0">
      <w:start w:val="0"/>
      <w:numFmt w:val="bullet"/>
      <w:lvlText w:val="￮"/>
      <w:lvlJc w:val="left"/>
      <w:rPr>
        <w:color w:val="3370FF"/>
      </w:rPr>
    </w:lvl>
  </w:abstractNum>
  <w:abstractNum w:abstractNumId="20">
    <w:nsid w:val="E093A4B0"/>
    <w:multiLevelType w:val="singleLevel"/>
    <w:tmpl w:val="E093A4B0"/>
    <w:lvl w:ilvl="0" w:tentative="0">
      <w:start w:val="14"/>
      <w:numFmt w:val="decimal"/>
      <w:lvlText w:val="%1."/>
      <w:lvlJc w:val="left"/>
      <w:rPr>
        <w:color w:val="3370FF"/>
      </w:rPr>
    </w:lvl>
  </w:abstractNum>
  <w:abstractNum w:abstractNumId="21">
    <w:nsid w:val="F0E89278"/>
    <w:multiLevelType w:val="singleLevel"/>
    <w:tmpl w:val="F0E89278"/>
    <w:lvl w:ilvl="0" w:tentative="0">
      <w:start w:val="0"/>
      <w:numFmt w:val="bullet"/>
      <w:lvlText w:val="•"/>
      <w:lvlJc w:val="left"/>
      <w:rPr>
        <w:color w:val="3370FF"/>
      </w:rPr>
    </w:lvl>
  </w:abstractNum>
  <w:abstractNum w:abstractNumId="22">
    <w:nsid w:val="F4B5D9F5"/>
    <w:multiLevelType w:val="singleLevel"/>
    <w:tmpl w:val="F4B5D9F5"/>
    <w:lvl w:ilvl="0" w:tentative="0">
      <w:start w:val="0"/>
      <w:numFmt w:val="bullet"/>
      <w:lvlText w:val="￮"/>
      <w:lvlJc w:val="left"/>
      <w:rPr>
        <w:color w:val="3370FF"/>
      </w:rPr>
    </w:lvl>
  </w:abstractNum>
  <w:abstractNum w:abstractNumId="23">
    <w:nsid w:val="F7735DC9"/>
    <w:multiLevelType w:val="singleLevel"/>
    <w:tmpl w:val="F7735DC9"/>
    <w:lvl w:ilvl="0" w:tentative="0">
      <w:start w:val="13"/>
      <w:numFmt w:val="decimal"/>
      <w:lvlText w:val="%1."/>
      <w:lvlJc w:val="left"/>
      <w:rPr>
        <w:color w:val="3370FF"/>
      </w:rPr>
    </w:lvl>
  </w:abstractNum>
  <w:abstractNum w:abstractNumId="24">
    <w:nsid w:val="0053208E"/>
    <w:multiLevelType w:val="singleLevel"/>
    <w:tmpl w:val="0053208E"/>
    <w:lvl w:ilvl="0" w:tentative="0">
      <w:start w:val="1"/>
      <w:numFmt w:val="lowerLetter"/>
      <w:lvlText w:val="%1."/>
      <w:lvlJc w:val="left"/>
      <w:rPr>
        <w:color w:val="3370FF"/>
      </w:rPr>
    </w:lvl>
  </w:abstractNum>
  <w:abstractNum w:abstractNumId="25">
    <w:nsid w:val="0248C179"/>
    <w:multiLevelType w:val="singleLevel"/>
    <w:tmpl w:val="0248C179"/>
    <w:lvl w:ilvl="0" w:tentative="0">
      <w:start w:val="0"/>
      <w:numFmt w:val="bullet"/>
      <w:lvlText w:val="￮"/>
      <w:lvlJc w:val="left"/>
      <w:rPr>
        <w:color w:val="3370FF"/>
      </w:rPr>
    </w:lvl>
  </w:abstractNum>
  <w:abstractNum w:abstractNumId="26">
    <w:nsid w:val="03D62ECE"/>
    <w:multiLevelType w:val="singleLevel"/>
    <w:tmpl w:val="03D62ECE"/>
    <w:lvl w:ilvl="0" w:tentative="0">
      <w:start w:val="0"/>
      <w:numFmt w:val="bullet"/>
      <w:lvlText w:val="￮"/>
      <w:lvlJc w:val="left"/>
      <w:rPr>
        <w:color w:val="3370FF"/>
      </w:rPr>
    </w:lvl>
  </w:abstractNum>
  <w:abstractNum w:abstractNumId="27">
    <w:nsid w:val="0709FD3E"/>
    <w:multiLevelType w:val="singleLevel"/>
    <w:tmpl w:val="0709FD3E"/>
    <w:lvl w:ilvl="0" w:tentative="0">
      <w:start w:val="0"/>
      <w:numFmt w:val="bullet"/>
      <w:lvlText w:val="•"/>
      <w:lvlJc w:val="left"/>
      <w:rPr>
        <w:color w:val="3370FF"/>
      </w:rPr>
    </w:lvl>
  </w:abstractNum>
  <w:abstractNum w:abstractNumId="28">
    <w:nsid w:val="0CEF100B"/>
    <w:multiLevelType w:val="singleLevel"/>
    <w:tmpl w:val="0CEF100B"/>
    <w:lvl w:ilvl="0" w:tentative="0">
      <w:start w:val="0"/>
      <w:numFmt w:val="bullet"/>
      <w:lvlText w:val="•"/>
      <w:lvlJc w:val="left"/>
      <w:rPr>
        <w:color w:val="3370FF"/>
      </w:rPr>
    </w:lvl>
  </w:abstractNum>
  <w:abstractNum w:abstractNumId="29">
    <w:nsid w:val="0E640482"/>
    <w:multiLevelType w:val="singleLevel"/>
    <w:tmpl w:val="0E640482"/>
    <w:lvl w:ilvl="0" w:tentative="0">
      <w:start w:val="0"/>
      <w:numFmt w:val="bullet"/>
      <w:lvlText w:val="￮"/>
      <w:lvlJc w:val="left"/>
      <w:rPr>
        <w:color w:val="3370FF"/>
      </w:rPr>
    </w:lvl>
  </w:abstractNum>
  <w:abstractNum w:abstractNumId="30">
    <w:nsid w:val="0F9F9CCA"/>
    <w:multiLevelType w:val="singleLevel"/>
    <w:tmpl w:val="0F9F9CCA"/>
    <w:lvl w:ilvl="0" w:tentative="0">
      <w:start w:val="0"/>
      <w:numFmt w:val="bullet"/>
      <w:lvlText w:val="•"/>
      <w:lvlJc w:val="left"/>
      <w:rPr>
        <w:color w:val="3370FF"/>
      </w:rPr>
    </w:lvl>
  </w:abstractNum>
  <w:abstractNum w:abstractNumId="31">
    <w:nsid w:val="1ACDE60F"/>
    <w:multiLevelType w:val="singleLevel"/>
    <w:tmpl w:val="1ACDE60F"/>
    <w:lvl w:ilvl="0" w:tentative="0">
      <w:start w:val="22"/>
      <w:numFmt w:val="decimal"/>
      <w:lvlText w:val="%1."/>
      <w:lvlJc w:val="left"/>
      <w:rPr>
        <w:color w:val="3370FF"/>
      </w:rPr>
    </w:lvl>
  </w:abstractNum>
  <w:abstractNum w:abstractNumId="32">
    <w:nsid w:val="1C257C7B"/>
    <w:multiLevelType w:val="singleLevel"/>
    <w:tmpl w:val="1C257C7B"/>
    <w:lvl w:ilvl="0" w:tentative="0">
      <w:start w:val="0"/>
      <w:numFmt w:val="bullet"/>
      <w:lvlText w:val="•"/>
      <w:lvlJc w:val="left"/>
      <w:rPr>
        <w:color w:val="3370FF"/>
      </w:rPr>
    </w:lvl>
  </w:abstractNum>
  <w:abstractNum w:abstractNumId="33">
    <w:nsid w:val="23E97754"/>
    <w:multiLevelType w:val="singleLevel"/>
    <w:tmpl w:val="23E97754"/>
    <w:lvl w:ilvl="0" w:tentative="0">
      <w:start w:val="0"/>
      <w:numFmt w:val="bullet"/>
      <w:lvlText w:val="•"/>
      <w:lvlJc w:val="left"/>
      <w:rPr>
        <w:color w:val="3370FF"/>
      </w:rPr>
    </w:lvl>
  </w:abstractNum>
  <w:abstractNum w:abstractNumId="34">
    <w:nsid w:val="243FCF68"/>
    <w:multiLevelType w:val="singleLevel"/>
    <w:tmpl w:val="243FCF68"/>
    <w:lvl w:ilvl="0" w:tentative="0">
      <w:start w:val="11"/>
      <w:numFmt w:val="decimal"/>
      <w:lvlText w:val="%1."/>
      <w:lvlJc w:val="left"/>
      <w:rPr>
        <w:color w:val="3370FF"/>
      </w:rPr>
    </w:lvl>
  </w:abstractNum>
  <w:abstractNum w:abstractNumId="35">
    <w:nsid w:val="2470EC97"/>
    <w:multiLevelType w:val="singleLevel"/>
    <w:tmpl w:val="2470EC97"/>
    <w:lvl w:ilvl="0" w:tentative="0">
      <w:start w:val="6"/>
      <w:numFmt w:val="decimal"/>
      <w:lvlText w:val="%1."/>
      <w:lvlJc w:val="left"/>
      <w:rPr>
        <w:color w:val="3370FF"/>
      </w:rPr>
    </w:lvl>
  </w:abstractNum>
  <w:abstractNum w:abstractNumId="36">
    <w:nsid w:val="25B654F3"/>
    <w:multiLevelType w:val="singleLevel"/>
    <w:tmpl w:val="25B654F3"/>
    <w:lvl w:ilvl="0" w:tentative="0">
      <w:start w:val="0"/>
      <w:numFmt w:val="bullet"/>
      <w:lvlText w:val="￮"/>
      <w:lvlJc w:val="left"/>
      <w:rPr>
        <w:color w:val="3370FF"/>
      </w:rPr>
    </w:lvl>
  </w:abstractNum>
  <w:abstractNum w:abstractNumId="37">
    <w:nsid w:val="2A8F537B"/>
    <w:multiLevelType w:val="singleLevel"/>
    <w:tmpl w:val="2A8F537B"/>
    <w:lvl w:ilvl="0" w:tentative="0">
      <w:start w:val="0"/>
      <w:numFmt w:val="bullet"/>
      <w:lvlText w:val="￮"/>
      <w:lvlJc w:val="left"/>
      <w:rPr>
        <w:color w:val="3370FF"/>
      </w:rPr>
    </w:lvl>
  </w:abstractNum>
  <w:abstractNum w:abstractNumId="38">
    <w:nsid w:val="30FC5B15"/>
    <w:multiLevelType w:val="singleLevel"/>
    <w:tmpl w:val="30FC5B15"/>
    <w:lvl w:ilvl="0" w:tentative="0">
      <w:start w:val="15"/>
      <w:numFmt w:val="decimal"/>
      <w:lvlText w:val="%1."/>
      <w:lvlJc w:val="left"/>
      <w:rPr>
        <w:color w:val="3370FF"/>
      </w:rPr>
    </w:lvl>
  </w:abstractNum>
  <w:abstractNum w:abstractNumId="39">
    <w:nsid w:val="322D85CA"/>
    <w:multiLevelType w:val="singleLevel"/>
    <w:tmpl w:val="322D85CA"/>
    <w:lvl w:ilvl="0" w:tentative="0">
      <w:start w:val="27"/>
      <w:numFmt w:val="decimal"/>
      <w:lvlText w:val="%1."/>
      <w:lvlJc w:val="left"/>
      <w:rPr>
        <w:color w:val="3370FF"/>
      </w:rPr>
    </w:lvl>
  </w:abstractNum>
  <w:abstractNum w:abstractNumId="40">
    <w:nsid w:val="32A7AF2D"/>
    <w:multiLevelType w:val="singleLevel"/>
    <w:tmpl w:val="32A7AF2D"/>
    <w:lvl w:ilvl="0" w:tentative="0">
      <w:start w:val="0"/>
      <w:numFmt w:val="bullet"/>
      <w:lvlText w:val="•"/>
      <w:lvlJc w:val="left"/>
      <w:rPr>
        <w:color w:val="3370FF"/>
      </w:rPr>
    </w:lvl>
  </w:abstractNum>
  <w:abstractNum w:abstractNumId="41">
    <w:nsid w:val="35E83B33"/>
    <w:multiLevelType w:val="singleLevel"/>
    <w:tmpl w:val="35E83B33"/>
    <w:lvl w:ilvl="0" w:tentative="0">
      <w:start w:val="0"/>
      <w:numFmt w:val="bullet"/>
      <w:lvlText w:val="•"/>
      <w:lvlJc w:val="left"/>
      <w:rPr>
        <w:color w:val="3370FF"/>
      </w:rPr>
    </w:lvl>
  </w:abstractNum>
  <w:abstractNum w:abstractNumId="42">
    <w:nsid w:val="39A0D9AC"/>
    <w:multiLevelType w:val="singleLevel"/>
    <w:tmpl w:val="39A0D9AC"/>
    <w:lvl w:ilvl="0" w:tentative="0">
      <w:start w:val="6"/>
      <w:numFmt w:val="decimal"/>
      <w:lvlText w:val="%1."/>
      <w:lvlJc w:val="left"/>
      <w:rPr>
        <w:color w:val="3370FF"/>
      </w:rPr>
    </w:lvl>
  </w:abstractNum>
  <w:abstractNum w:abstractNumId="43">
    <w:nsid w:val="40B249F9"/>
    <w:multiLevelType w:val="singleLevel"/>
    <w:tmpl w:val="40B249F9"/>
    <w:lvl w:ilvl="0" w:tentative="0">
      <w:start w:val="0"/>
      <w:numFmt w:val="bullet"/>
      <w:lvlText w:val="•"/>
      <w:lvlJc w:val="left"/>
      <w:rPr>
        <w:color w:val="3370FF"/>
      </w:rPr>
    </w:lvl>
  </w:abstractNum>
  <w:abstractNum w:abstractNumId="44">
    <w:nsid w:val="46A08BB8"/>
    <w:multiLevelType w:val="singleLevel"/>
    <w:tmpl w:val="46A08BB8"/>
    <w:lvl w:ilvl="0" w:tentative="0">
      <w:start w:val="0"/>
      <w:numFmt w:val="bullet"/>
      <w:lvlText w:val="￮"/>
      <w:lvlJc w:val="left"/>
      <w:rPr>
        <w:color w:val="3370FF"/>
      </w:rPr>
    </w:lvl>
  </w:abstractNum>
  <w:abstractNum w:abstractNumId="45">
    <w:nsid w:val="4C1BAE26"/>
    <w:multiLevelType w:val="singleLevel"/>
    <w:tmpl w:val="4C1BAE26"/>
    <w:lvl w:ilvl="0" w:tentative="0">
      <w:start w:val="7"/>
      <w:numFmt w:val="decimal"/>
      <w:lvlText w:val="%1."/>
      <w:lvlJc w:val="left"/>
      <w:rPr>
        <w:color w:val="3370FF"/>
      </w:rPr>
    </w:lvl>
  </w:abstractNum>
  <w:abstractNum w:abstractNumId="46">
    <w:nsid w:val="4C3D7A74"/>
    <w:multiLevelType w:val="singleLevel"/>
    <w:tmpl w:val="4C3D7A74"/>
    <w:lvl w:ilvl="0" w:tentative="0">
      <w:start w:val="26"/>
      <w:numFmt w:val="decimal"/>
      <w:lvlText w:val="%1."/>
      <w:lvlJc w:val="left"/>
      <w:rPr>
        <w:color w:val="3370FF"/>
      </w:rPr>
    </w:lvl>
  </w:abstractNum>
  <w:abstractNum w:abstractNumId="47">
    <w:nsid w:val="4D4DC07F"/>
    <w:multiLevelType w:val="singleLevel"/>
    <w:tmpl w:val="4D4DC07F"/>
    <w:lvl w:ilvl="0" w:tentative="0">
      <w:start w:val="0"/>
      <w:numFmt w:val="bullet"/>
      <w:lvlText w:val="￮"/>
      <w:lvlJc w:val="left"/>
      <w:rPr>
        <w:color w:val="3370FF"/>
      </w:rPr>
    </w:lvl>
  </w:abstractNum>
  <w:abstractNum w:abstractNumId="48">
    <w:nsid w:val="4D94DA66"/>
    <w:multiLevelType w:val="singleLevel"/>
    <w:tmpl w:val="4D94DA66"/>
    <w:lvl w:ilvl="0" w:tentative="0">
      <w:start w:val="12"/>
      <w:numFmt w:val="decimal"/>
      <w:lvlText w:val="%1."/>
      <w:lvlJc w:val="left"/>
      <w:rPr>
        <w:color w:val="3370FF"/>
      </w:rPr>
    </w:lvl>
  </w:abstractNum>
  <w:abstractNum w:abstractNumId="49">
    <w:nsid w:val="58765686"/>
    <w:multiLevelType w:val="singleLevel"/>
    <w:tmpl w:val="58765686"/>
    <w:lvl w:ilvl="0" w:tentative="0">
      <w:start w:val="8"/>
      <w:numFmt w:val="decimal"/>
      <w:lvlText w:val="%1."/>
      <w:lvlJc w:val="left"/>
      <w:rPr>
        <w:color w:val="3370FF"/>
      </w:rPr>
    </w:lvl>
  </w:abstractNum>
  <w:abstractNum w:abstractNumId="50">
    <w:nsid w:val="59ADCABA"/>
    <w:multiLevelType w:val="singleLevel"/>
    <w:tmpl w:val="59ADCABA"/>
    <w:lvl w:ilvl="0" w:tentative="0">
      <w:start w:val="0"/>
      <w:numFmt w:val="bullet"/>
      <w:lvlText w:val="￮"/>
      <w:lvlJc w:val="left"/>
      <w:rPr>
        <w:color w:val="3370FF"/>
      </w:rPr>
    </w:lvl>
  </w:abstractNum>
  <w:abstractNum w:abstractNumId="51">
    <w:nsid w:val="5A241D34"/>
    <w:multiLevelType w:val="singleLevel"/>
    <w:tmpl w:val="5A241D34"/>
    <w:lvl w:ilvl="0" w:tentative="0">
      <w:start w:val="5"/>
      <w:numFmt w:val="decimal"/>
      <w:lvlText w:val="%1."/>
      <w:lvlJc w:val="left"/>
      <w:rPr>
        <w:color w:val="3370FF"/>
      </w:rPr>
    </w:lvl>
  </w:abstractNum>
  <w:abstractNum w:abstractNumId="52">
    <w:nsid w:val="5E29AB5A"/>
    <w:multiLevelType w:val="singleLevel"/>
    <w:tmpl w:val="5E29AB5A"/>
    <w:lvl w:ilvl="0" w:tentative="0">
      <w:start w:val="20"/>
      <w:numFmt w:val="decimal"/>
      <w:lvlText w:val="%1."/>
      <w:lvlJc w:val="left"/>
      <w:rPr>
        <w:color w:val="3370FF"/>
      </w:rPr>
    </w:lvl>
  </w:abstractNum>
  <w:abstractNum w:abstractNumId="53">
    <w:nsid w:val="5FFFB1A7"/>
    <w:multiLevelType w:val="singleLevel"/>
    <w:tmpl w:val="5FFFB1A7"/>
    <w:lvl w:ilvl="0" w:tentative="0">
      <w:start w:val="24"/>
      <w:numFmt w:val="decimal"/>
      <w:lvlText w:val="%1."/>
      <w:lvlJc w:val="left"/>
      <w:rPr>
        <w:color w:val="3370FF"/>
      </w:rPr>
    </w:lvl>
  </w:abstractNum>
  <w:abstractNum w:abstractNumId="54">
    <w:nsid w:val="60382F6E"/>
    <w:multiLevelType w:val="singleLevel"/>
    <w:tmpl w:val="60382F6E"/>
    <w:lvl w:ilvl="0" w:tentative="0">
      <w:start w:val="0"/>
      <w:numFmt w:val="bullet"/>
      <w:lvlText w:val="￮"/>
      <w:lvlJc w:val="left"/>
      <w:rPr>
        <w:color w:val="3370FF"/>
      </w:rPr>
    </w:lvl>
  </w:abstractNum>
  <w:abstractNum w:abstractNumId="55">
    <w:nsid w:val="629F7852"/>
    <w:multiLevelType w:val="singleLevel"/>
    <w:tmpl w:val="629F7852"/>
    <w:lvl w:ilvl="0" w:tentative="0">
      <w:start w:val="4"/>
      <w:numFmt w:val="decimal"/>
      <w:lvlText w:val="%1."/>
      <w:lvlJc w:val="left"/>
      <w:rPr>
        <w:color w:val="3370FF"/>
      </w:rPr>
    </w:lvl>
  </w:abstractNum>
  <w:abstractNum w:abstractNumId="56">
    <w:nsid w:val="65CD0074"/>
    <w:multiLevelType w:val="singleLevel"/>
    <w:tmpl w:val="65CD0074"/>
    <w:lvl w:ilvl="0" w:tentative="0">
      <w:start w:val="28"/>
      <w:numFmt w:val="decimal"/>
      <w:lvlText w:val="%1."/>
      <w:lvlJc w:val="left"/>
      <w:rPr>
        <w:color w:val="3370FF"/>
      </w:rPr>
    </w:lvl>
  </w:abstractNum>
  <w:abstractNum w:abstractNumId="57">
    <w:nsid w:val="72183CF9"/>
    <w:multiLevelType w:val="singleLevel"/>
    <w:tmpl w:val="72183CF9"/>
    <w:lvl w:ilvl="0" w:tentative="0">
      <w:start w:val="3"/>
      <w:numFmt w:val="decimal"/>
      <w:lvlText w:val="%1."/>
      <w:lvlJc w:val="left"/>
      <w:rPr>
        <w:color w:val="3370FF"/>
      </w:rPr>
    </w:lvl>
  </w:abstractNum>
  <w:abstractNum w:abstractNumId="58">
    <w:nsid w:val="74C28B35"/>
    <w:multiLevelType w:val="singleLevel"/>
    <w:tmpl w:val="74C28B35"/>
    <w:lvl w:ilvl="0" w:tentative="0">
      <w:start w:val="25"/>
      <w:numFmt w:val="decimal"/>
      <w:lvlText w:val="%1."/>
      <w:lvlJc w:val="left"/>
      <w:rPr>
        <w:color w:val="3370FF"/>
      </w:rPr>
    </w:lvl>
  </w:abstractNum>
  <w:abstractNum w:abstractNumId="59">
    <w:nsid w:val="77ECEA79"/>
    <w:multiLevelType w:val="singleLevel"/>
    <w:tmpl w:val="77ECEA79"/>
    <w:lvl w:ilvl="0" w:tentative="0">
      <w:start w:val="2"/>
      <w:numFmt w:val="decimal"/>
      <w:lvlText w:val="%1."/>
      <w:lvlJc w:val="left"/>
      <w:rPr>
        <w:color w:val="3370FF"/>
      </w:rPr>
    </w:lvl>
  </w:abstractNum>
  <w:abstractNum w:abstractNumId="60">
    <w:nsid w:val="79AA4FA4"/>
    <w:multiLevelType w:val="singleLevel"/>
    <w:tmpl w:val="79AA4FA4"/>
    <w:lvl w:ilvl="0" w:tentative="0">
      <w:start w:val="16"/>
      <w:numFmt w:val="decimal"/>
      <w:lvlText w:val="%1."/>
      <w:lvlJc w:val="left"/>
      <w:rPr>
        <w:color w:val="3370FF"/>
      </w:rPr>
    </w:lvl>
  </w:abstractNum>
  <w:abstractNum w:abstractNumId="61">
    <w:nsid w:val="7C246926"/>
    <w:multiLevelType w:val="singleLevel"/>
    <w:tmpl w:val="7C246926"/>
    <w:lvl w:ilvl="0" w:tentative="0">
      <w:start w:val="1"/>
      <w:numFmt w:val="decimal"/>
      <w:lvlText w:val="%1."/>
      <w:lvlJc w:val="left"/>
      <w:rPr>
        <w:color w:val="3370FF"/>
      </w:rPr>
    </w:lvl>
  </w:abstractNum>
  <w:abstractNum w:abstractNumId="62">
    <w:nsid w:val="7DEC2089"/>
    <w:multiLevelType w:val="singleLevel"/>
    <w:tmpl w:val="7DEC2089"/>
    <w:lvl w:ilvl="0" w:tentative="0">
      <w:start w:val="9"/>
      <w:numFmt w:val="decimal"/>
      <w:lvlText w:val="%1."/>
      <w:lvlJc w:val="left"/>
      <w:rPr>
        <w:color w:val="3370FF"/>
      </w:rPr>
    </w:lvl>
  </w:abstractNum>
  <w:num w:numId="1">
    <w:abstractNumId w:val="24"/>
  </w:num>
  <w:num w:numId="2">
    <w:abstractNumId w:val="16"/>
  </w:num>
  <w:num w:numId="3">
    <w:abstractNumId w:val="50"/>
  </w:num>
  <w:num w:numId="4">
    <w:abstractNumId w:val="14"/>
  </w:num>
  <w:num w:numId="5">
    <w:abstractNumId w:val="10"/>
  </w:num>
  <w:num w:numId="6">
    <w:abstractNumId w:val="26"/>
  </w:num>
  <w:num w:numId="7">
    <w:abstractNumId w:val="36"/>
  </w:num>
  <w:num w:numId="8">
    <w:abstractNumId w:val="57"/>
  </w:num>
  <w:num w:numId="9">
    <w:abstractNumId w:val="25"/>
  </w:num>
  <w:num w:numId="10">
    <w:abstractNumId w:val="5"/>
  </w:num>
  <w:num w:numId="11">
    <w:abstractNumId w:val="37"/>
  </w:num>
  <w:num w:numId="12">
    <w:abstractNumId w:val="51"/>
  </w:num>
  <w:num w:numId="13">
    <w:abstractNumId w:val="15"/>
  </w:num>
  <w:num w:numId="14">
    <w:abstractNumId w:val="47"/>
  </w:num>
  <w:num w:numId="15">
    <w:abstractNumId w:val="22"/>
  </w:num>
  <w:num w:numId="16">
    <w:abstractNumId w:val="35"/>
  </w:num>
  <w:num w:numId="17">
    <w:abstractNumId w:val="19"/>
  </w:num>
  <w:num w:numId="18">
    <w:abstractNumId w:val="18"/>
  </w:num>
  <w:num w:numId="19">
    <w:abstractNumId w:val="7"/>
  </w:num>
  <w:num w:numId="20">
    <w:abstractNumId w:val="45"/>
  </w:num>
  <w:num w:numId="21">
    <w:abstractNumId w:val="54"/>
  </w:num>
  <w:num w:numId="22">
    <w:abstractNumId w:val="29"/>
  </w:num>
  <w:num w:numId="23">
    <w:abstractNumId w:val="44"/>
  </w:num>
  <w:num w:numId="24">
    <w:abstractNumId w:val="8"/>
  </w:num>
  <w:num w:numId="25">
    <w:abstractNumId w:val="61"/>
  </w:num>
  <w:num w:numId="26">
    <w:abstractNumId w:val="59"/>
  </w:num>
  <w:num w:numId="27">
    <w:abstractNumId w:val="13"/>
  </w:num>
  <w:num w:numId="28">
    <w:abstractNumId w:val="55"/>
  </w:num>
  <w:num w:numId="29">
    <w:abstractNumId w:val="6"/>
  </w:num>
  <w:num w:numId="30">
    <w:abstractNumId w:val="42"/>
  </w:num>
  <w:num w:numId="31">
    <w:abstractNumId w:val="2"/>
  </w:num>
  <w:num w:numId="32">
    <w:abstractNumId w:val="49"/>
  </w:num>
  <w:num w:numId="33">
    <w:abstractNumId w:val="62"/>
  </w:num>
  <w:num w:numId="34">
    <w:abstractNumId w:val="0"/>
  </w:num>
  <w:num w:numId="35">
    <w:abstractNumId w:val="34"/>
  </w:num>
  <w:num w:numId="36">
    <w:abstractNumId w:val="48"/>
  </w:num>
  <w:num w:numId="37">
    <w:abstractNumId w:val="23"/>
  </w:num>
  <w:num w:numId="38">
    <w:abstractNumId w:val="20"/>
  </w:num>
  <w:num w:numId="39">
    <w:abstractNumId w:val="38"/>
  </w:num>
  <w:num w:numId="40">
    <w:abstractNumId w:val="60"/>
  </w:num>
  <w:num w:numId="41">
    <w:abstractNumId w:val="12"/>
  </w:num>
  <w:num w:numId="42">
    <w:abstractNumId w:val="4"/>
  </w:num>
  <w:num w:numId="43">
    <w:abstractNumId w:val="11"/>
  </w:num>
  <w:num w:numId="44">
    <w:abstractNumId w:val="52"/>
  </w:num>
  <w:num w:numId="45">
    <w:abstractNumId w:val="1"/>
  </w:num>
  <w:num w:numId="46">
    <w:abstractNumId w:val="31"/>
  </w:num>
  <w:num w:numId="47">
    <w:abstractNumId w:val="3"/>
  </w:num>
  <w:num w:numId="48">
    <w:abstractNumId w:val="53"/>
  </w:num>
  <w:num w:numId="49">
    <w:abstractNumId w:val="58"/>
  </w:num>
  <w:num w:numId="50">
    <w:abstractNumId w:val="46"/>
  </w:num>
  <w:num w:numId="51">
    <w:abstractNumId w:val="39"/>
  </w:num>
  <w:num w:numId="52">
    <w:abstractNumId w:val="56"/>
  </w:num>
  <w:num w:numId="53">
    <w:abstractNumId w:val="27"/>
  </w:num>
  <w:num w:numId="54">
    <w:abstractNumId w:val="28"/>
  </w:num>
  <w:num w:numId="55">
    <w:abstractNumId w:val="17"/>
  </w:num>
  <w:num w:numId="56">
    <w:abstractNumId w:val="40"/>
  </w:num>
  <w:num w:numId="57">
    <w:abstractNumId w:val="32"/>
  </w:num>
  <w:num w:numId="58">
    <w:abstractNumId w:val="21"/>
  </w:num>
  <w:num w:numId="59">
    <w:abstractNumId w:val="33"/>
  </w:num>
  <w:num w:numId="60">
    <w:abstractNumId w:val="9"/>
  </w:num>
  <w:num w:numId="61">
    <w:abstractNumId w:val="43"/>
  </w:num>
  <w:num w:numId="62">
    <w:abstractNumId w:val="30"/>
  </w:num>
  <w:num w:numId="6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hOTkwYThiMjk4N2E4MzQ1OTgwZWMzZGE1YTMyMjAifQ=="/>
  </w:docVars>
  <w:rsids>
    <w:rsidRoot w:val="00000000"/>
    <w:rsid w:val="247F0996"/>
    <w:rsid w:val="3CFD293C"/>
    <w:rsid w:val="46EB7948"/>
    <w:rsid w:val="6F6D52A0"/>
    <w:rsid w:val="7CBA0240"/>
    <w:rsid w:val="7FFB60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36</Pages>
  <Words>6280</Words>
  <Characters>9132</Characters>
  <TotalTime>0</TotalTime>
  <ScaleCrop>false</ScaleCrop>
  <LinksUpToDate>false</LinksUpToDate>
  <CharactersWithSpaces>9322</CharactersWithSpaces>
  <Application>WPS Office_3.0.2.4882_F1E327BC-269C-435d-A152-05C5408002CA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2023-08-02T11:40:00Z</dcterms:created>
  <dc:creator>Apache POI</dc:creator>
  <cp:lastModifiedBy>zhangjingnan</cp:lastModifiedBy>
  <dcterms:modified xsi:type="dcterms:W3CDTF">2023-08-07T18:48:24Z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y fmtid="{D5CDD505-2E9C-101B-9397-08002B2CF9AE}" pid="3" name="ICV">
    <vt:lpwstr>B8B339F0D0AE4A6B821D57FEDAF1DF1C_13</vt:lpwstr>
  </property>
</Properties>
</file>