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spacing w:val="0"/>
          <w:sz w:val="32"/>
          <w:u w:val="none" w:color="auto"/>
          <w:lang w:val="en-US" w:eastAsia="zh-CN"/>
        </w:rPr>
      </w:pPr>
      <w:r>
        <w:rPr>
          <w:rFonts w:hint="eastAsia" w:ascii="黑体" w:hAnsi="黑体" w:eastAsia="黑体" w:cs="黑体"/>
          <w:b w:val="0"/>
          <w:spacing w:val="0"/>
          <w:sz w:val="32"/>
          <w:u w:val="none" w:color="auto"/>
          <w:lang w:val="en-US" w:eastAsia="zh-CN"/>
        </w:rPr>
        <w:t>附件</w:t>
      </w:r>
      <w:bookmarkStart w:id="0" w:name="_GoBack"/>
      <w:bookmarkEnd w:id="0"/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spacing w:val="0"/>
          <w:sz w:val="32"/>
          <w:u w:val="none" w:color="auto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黑体" w:hAnsi="黑体" w:eastAsia="黑体" w:cs="黑体"/>
          <w:b w:val="0"/>
          <w:spacing w:val="0"/>
          <w:sz w:val="32"/>
          <w:u w:val="none" w:color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pacing w:val="0"/>
          <w:w w:val="98"/>
          <w:kern w:val="2"/>
          <w:sz w:val="40"/>
          <w:szCs w:val="40"/>
          <w:u w:val="none" w:color="auto"/>
          <w:lang w:val="en-US" w:eastAsia="zh-CN"/>
        </w:rPr>
        <w:t>宁德市2024年国民经济和社会发展计划主要指标表</w:t>
      </w:r>
    </w:p>
    <w:p/>
    <w:tbl>
      <w:tblPr>
        <w:tblStyle w:val="5"/>
        <w:tblW w:w="89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2217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4535" w:type="dxa"/>
            <w:noWrap w:val="0"/>
            <w:vAlign w:val="top"/>
            <mc:AlternateContent>
              <mc:Choice Requires="wpsCustomData">
                <wpsCustomData:diagonals>
                  <wpsCustomData:diagonal from="10000" to="30000">
                    <wpsCustomData:border w:val="single" w:color="auto" w:sz="4" w:space="0"/>
                  </wpsCustomData:diagonal>
                </wpsCustomData:diagonals>
              </mc:Choice>
            </mc:AlternateContent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黑体" w:hAnsi="黑体" w:eastAsia="黑体" w:cs="黑体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指标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eastAsia" w:ascii="黑体" w:hAnsi="黑体" w:eastAsia="黑体" w:cs="黑体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栏目</w:t>
            </w:r>
          </w:p>
        </w:tc>
        <w:tc>
          <w:tcPr>
            <w:tcW w:w="221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2023年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增长（%）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2024年预期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增长（%）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3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一、地区生产总值</w:t>
            </w:r>
          </w:p>
        </w:tc>
        <w:tc>
          <w:tcPr>
            <w:tcW w:w="221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8.6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3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tabs>
                <w:tab w:val="left" w:pos="29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 xml:space="preserve">    第一产业增加值</w:t>
            </w:r>
          </w:p>
        </w:tc>
        <w:tc>
          <w:tcPr>
            <w:tcW w:w="221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3.9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3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 xml:space="preserve">    第二产业增加值</w:t>
            </w:r>
          </w:p>
        </w:tc>
        <w:tc>
          <w:tcPr>
            <w:tcW w:w="221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11.8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3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 xml:space="preserve">    第三产业增加值</w:t>
            </w:r>
          </w:p>
        </w:tc>
        <w:tc>
          <w:tcPr>
            <w:tcW w:w="221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4.6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3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二、规模以上工业增加值</w:t>
            </w:r>
          </w:p>
        </w:tc>
        <w:tc>
          <w:tcPr>
            <w:tcW w:w="221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17.1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3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三、固定资产投资</w:t>
            </w:r>
          </w:p>
        </w:tc>
        <w:tc>
          <w:tcPr>
            <w:tcW w:w="221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-22.5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3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四、社会消费品零售总额</w:t>
            </w:r>
          </w:p>
        </w:tc>
        <w:tc>
          <w:tcPr>
            <w:tcW w:w="221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2.5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3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五、进出口总额</w:t>
            </w:r>
          </w:p>
        </w:tc>
        <w:tc>
          <w:tcPr>
            <w:tcW w:w="221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16.2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3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六、一般公共预算总收入</w:t>
            </w:r>
          </w:p>
        </w:tc>
        <w:tc>
          <w:tcPr>
            <w:tcW w:w="221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32.6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3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七、地方一般公共预算收入</w:t>
            </w:r>
          </w:p>
        </w:tc>
        <w:tc>
          <w:tcPr>
            <w:tcW w:w="221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25.3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3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八、金融机构本外币贷款余额</w:t>
            </w:r>
          </w:p>
        </w:tc>
        <w:tc>
          <w:tcPr>
            <w:tcW w:w="221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20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3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九、城镇居民人均可支配收入</w:t>
            </w:r>
          </w:p>
        </w:tc>
        <w:tc>
          <w:tcPr>
            <w:tcW w:w="221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4.4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535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十、农村居民人均可支配收入</w:t>
            </w:r>
          </w:p>
        </w:tc>
        <w:tc>
          <w:tcPr>
            <w:tcW w:w="2217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7.4</w:t>
            </w:r>
          </w:p>
        </w:tc>
        <w:tc>
          <w:tcPr>
            <w:tcW w:w="2160" w:type="dxa"/>
            <w:noWrap w:val="0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spacing w:val="0"/>
                <w:w w:val="98"/>
                <w:kern w:val="2"/>
                <w:sz w:val="30"/>
                <w:szCs w:val="30"/>
                <w:u w:val="none" w:color="auto"/>
                <w:vertAlign w:val="baseline"/>
                <w:lang w:val="en-US" w:eastAsia="zh-CN"/>
              </w:rPr>
              <w:t>8</w:t>
            </w: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eastAsia" w:ascii="仿宋_GB2312" w:hAnsi="仿宋_GB2312" w:eastAsia="仿宋_GB2312"/>
          <w:b w:val="0"/>
          <w:spacing w:val="0"/>
          <w:sz w:val="32"/>
          <w:u w:val="none" w:color="auto"/>
          <w:lang w:val="en-US" w:eastAsia="zh-CN"/>
        </w:rPr>
      </w:pPr>
    </w:p>
    <w:sectPr>
      <w:pgSz w:w="11906" w:h="16838"/>
      <w:pgMar w:top="2098" w:right="141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MjEzMzdkYmNkM2Q4NmY2YTNhMDU1ZGNiOWFiMzAifQ=="/>
    <w:docVar w:name="KSO_WPS_MARK_KEY" w:val="d12a1075-7b52-46e8-9086-9e48f5958e0c"/>
  </w:docVars>
  <w:rsids>
    <w:rsidRoot w:val="15ED05DB"/>
    <w:rsid w:val="15ED05DB"/>
    <w:rsid w:val="7483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3">
    <w:name w:val="Body Text First Indent"/>
    <w:qFormat/>
    <w:uiPriority w:val="99"/>
    <w:pPr>
      <w:widowControl w:val="0"/>
      <w:ind w:firstLine="420" w:firstLineChars="100"/>
      <w:jc w:val="both"/>
    </w:pPr>
    <w:rPr>
      <w:rFonts w:ascii="Times New Roman" w:hAnsi="Times New Roman" w:eastAsia="宋体" w:cs="Times New Roman"/>
      <w:kern w:val="0"/>
      <w:sz w:val="20"/>
      <w:szCs w:val="20"/>
      <w:lang w:val="en-US" w:eastAsia="zh-CN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173</Words>
  <Characters>219</Characters>
  <Lines>0</Lines>
  <Paragraphs>0</Paragraphs>
  <TotalTime>0</TotalTime>
  <ScaleCrop>false</ScaleCrop>
  <LinksUpToDate>false</LinksUpToDate>
  <CharactersWithSpaces>231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2024-03-15T01:26:00Z</dcterms:created>
  <dc:creator>Administrator</dc:creator>
  <cp:lastModifiedBy>Administrator</cp:lastModifiedBy>
  <dcterms:modified xsi:type="dcterms:W3CDTF">2024-03-15T01:31:29Z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32D172873CB14150A17D0BCF01473DF3</vt:lpwstr>
  </property>
</Properties>
</file>