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lef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spacing w:line="570" w:lineRule="exact"/>
        <w:jc w:val="left"/>
        <w:rPr>
          <w:rFonts w:hint="eastAsia" w:ascii="方正小标宋简体" w:hAnsi="方正小标宋简体" w:eastAsia="方正小标宋简体" w:cs="方正小标宋简体"/>
          <w:sz w:val="44"/>
          <w:szCs w:val="44"/>
        </w:rPr>
      </w:pPr>
    </w:p>
    <w:p>
      <w:pPr>
        <w:spacing w:line="57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宁德市中小企业服务中心联系方式</w:t>
      </w:r>
    </w:p>
    <w:p>
      <w:pPr>
        <w:spacing w:line="570" w:lineRule="exact"/>
        <w:ind w:firstLine="1026" w:firstLineChars="300"/>
        <w:jc w:val="left"/>
        <w:rPr>
          <w:rFonts w:hint="eastAsia" w:ascii="仿宋_GB2312" w:hAnsi="仿宋_GB2312" w:eastAsia="仿宋_GB2312" w:cs="仿宋_GB2312"/>
          <w:sz w:val="36"/>
          <w:szCs w:val="36"/>
        </w:rPr>
      </w:pPr>
    </w:p>
    <w:p>
      <w:pPr>
        <w:spacing w:line="570" w:lineRule="exact"/>
        <w:ind w:firstLine="604" w:firstLineChars="200"/>
        <w:jc w:val="left"/>
        <w:rPr>
          <w:rFonts w:hint="eastAsia" w:ascii="黑体" w:hAnsi="黑体" w:eastAsia="黑体" w:cs="黑体"/>
          <w:sz w:val="32"/>
          <w:szCs w:val="32"/>
        </w:rPr>
      </w:pPr>
      <w:r>
        <w:rPr>
          <w:rFonts w:hint="eastAsia" w:ascii="黑体" w:hAnsi="黑体" w:eastAsia="黑体" w:cs="黑体"/>
          <w:sz w:val="32"/>
          <w:szCs w:val="32"/>
        </w:rPr>
        <w:t>一、中小企业服务中心联系方式</w:t>
      </w:r>
    </w:p>
    <w:tbl>
      <w:tblPr>
        <w:tblStyle w:val="6"/>
        <w:tblW w:w="0" w:type="auto"/>
        <w:tblInd w:w="0" w:type="dxa"/>
        <w:tblLayout w:type="autofit"/>
        <w:tblCellMar>
          <w:top w:w="0" w:type="dxa"/>
          <w:left w:w="108" w:type="dxa"/>
          <w:bottom w:w="0" w:type="dxa"/>
          <w:right w:w="108" w:type="dxa"/>
        </w:tblCellMar>
      </w:tblPr>
      <w:tblGrid>
        <w:gridCol w:w="7053"/>
        <w:gridCol w:w="2064"/>
      </w:tblGrid>
      <w:tr>
        <w:tblPrEx>
          <w:tblCellMar>
            <w:top w:w="0" w:type="dxa"/>
            <w:left w:w="108" w:type="dxa"/>
            <w:bottom w:w="0" w:type="dxa"/>
            <w:right w:w="108" w:type="dxa"/>
          </w:tblCellMar>
        </w:tblPrEx>
        <w:tc>
          <w:tcPr>
            <w:tcW w:w="7054" w:type="dxa"/>
            <w:noWrap w:val="0"/>
            <w:vAlign w:val="top"/>
          </w:tcPr>
          <w:p>
            <w:pPr>
              <w:spacing w:line="570" w:lineRule="exact"/>
              <w:ind w:firstLine="604" w:firstLineChars="200"/>
              <w:rPr>
                <w:rFonts w:ascii="仿宋_GB2312" w:hAnsi="仿宋_GB2312" w:eastAsia="仿宋_GB2312" w:cs="仿宋_GB2312"/>
                <w:sz w:val="32"/>
                <w:szCs w:val="32"/>
              </w:rPr>
            </w:pPr>
            <w:r>
              <w:rPr>
                <w:rFonts w:ascii="仿宋_GB2312" w:hAnsi="仿宋_GB2312" w:eastAsia="仿宋_GB2312" w:cs="仿宋_GB2312"/>
                <w:sz w:val="32"/>
                <w:szCs w:val="32"/>
              </w:rPr>
              <w:t>宁德市中小企业服务中心</w:t>
            </w:r>
          </w:p>
        </w:tc>
        <w:tc>
          <w:tcPr>
            <w:tcW w:w="2064" w:type="dxa"/>
            <w:noWrap w:val="0"/>
            <w:vAlign w:val="top"/>
          </w:tcPr>
          <w:p>
            <w:pPr>
              <w:spacing w:line="570" w:lineRule="exact"/>
              <w:rPr>
                <w:rFonts w:ascii="仿宋_GB2312" w:hAnsi="仿宋_GB2312" w:eastAsia="仿宋_GB2312" w:cs="仿宋_GB2312"/>
                <w:sz w:val="32"/>
                <w:szCs w:val="32"/>
              </w:rPr>
            </w:pPr>
            <w:r>
              <w:rPr>
                <w:rFonts w:hint="eastAsia" w:ascii="仿宋_GB2312" w:hAnsi="仿宋" w:eastAsia="仿宋_GB2312" w:cs="仿宋_GB2312"/>
                <w:sz w:val="32"/>
                <w:szCs w:val="32"/>
              </w:rPr>
              <w:t>2567015</w:t>
            </w:r>
          </w:p>
        </w:tc>
      </w:tr>
      <w:tr>
        <w:tblPrEx>
          <w:tblCellMar>
            <w:top w:w="0" w:type="dxa"/>
            <w:left w:w="108" w:type="dxa"/>
            <w:bottom w:w="0" w:type="dxa"/>
            <w:right w:w="108" w:type="dxa"/>
          </w:tblCellMar>
        </w:tblPrEx>
        <w:tc>
          <w:tcPr>
            <w:tcW w:w="7054" w:type="dxa"/>
            <w:noWrap w:val="0"/>
            <w:vAlign w:val="top"/>
          </w:tcPr>
          <w:p>
            <w:pPr>
              <w:spacing w:line="570" w:lineRule="exact"/>
              <w:ind w:firstLine="604" w:firstLineChars="200"/>
              <w:rPr>
                <w:rFonts w:ascii="仿宋_GB2312" w:hAnsi="仿宋_GB2312" w:eastAsia="仿宋_GB2312" w:cs="仿宋_GB2312"/>
                <w:sz w:val="32"/>
                <w:szCs w:val="32"/>
              </w:rPr>
            </w:pPr>
            <w:r>
              <w:rPr>
                <w:rFonts w:hint="eastAsia" w:ascii="仿宋_GB2312" w:hAnsi="仿宋" w:eastAsia="仿宋_GB2312" w:cs="仿宋_GB2312"/>
                <w:sz w:val="32"/>
                <w:szCs w:val="32"/>
              </w:rPr>
              <w:t>蕉城区中小企业服务中心</w:t>
            </w:r>
          </w:p>
        </w:tc>
        <w:tc>
          <w:tcPr>
            <w:tcW w:w="2064" w:type="dxa"/>
            <w:noWrap w:val="0"/>
            <w:vAlign w:val="top"/>
          </w:tcPr>
          <w:p>
            <w:pPr>
              <w:spacing w:line="570" w:lineRule="exact"/>
              <w:rPr>
                <w:rFonts w:hint="default" w:ascii="仿宋_GB2312" w:hAnsi="仿宋_GB2312" w:eastAsia="仿宋_GB2312" w:cs="仿宋_GB2312"/>
                <w:sz w:val="32"/>
                <w:szCs w:val="32"/>
                <w:lang w:val="en-US" w:eastAsia="zh-CN"/>
              </w:rPr>
            </w:pPr>
            <w:r>
              <w:rPr>
                <w:rFonts w:hint="eastAsia" w:ascii="仿宋_GB2312" w:hAnsi="仿宋" w:eastAsia="仿宋_GB2312" w:cs="仿宋_GB2312"/>
                <w:sz w:val="32"/>
                <w:szCs w:val="32"/>
              </w:rPr>
              <w:t>28</w:t>
            </w:r>
            <w:r>
              <w:rPr>
                <w:rFonts w:hint="eastAsia" w:ascii="仿宋_GB2312" w:hAnsi="仿宋" w:cs="仿宋_GB2312"/>
                <w:sz w:val="32"/>
                <w:szCs w:val="32"/>
                <w:lang w:val="en-US" w:eastAsia="zh-CN"/>
              </w:rPr>
              <w:t>07565</w:t>
            </w:r>
          </w:p>
        </w:tc>
      </w:tr>
      <w:tr>
        <w:tblPrEx>
          <w:tblCellMar>
            <w:top w:w="0" w:type="dxa"/>
            <w:left w:w="108" w:type="dxa"/>
            <w:bottom w:w="0" w:type="dxa"/>
            <w:right w:w="108" w:type="dxa"/>
          </w:tblCellMar>
        </w:tblPrEx>
        <w:tc>
          <w:tcPr>
            <w:tcW w:w="7054" w:type="dxa"/>
            <w:noWrap w:val="0"/>
            <w:vAlign w:val="top"/>
          </w:tcPr>
          <w:p>
            <w:pPr>
              <w:spacing w:line="570" w:lineRule="exact"/>
              <w:ind w:firstLine="604" w:firstLineChars="200"/>
              <w:rPr>
                <w:rFonts w:ascii="仿宋_GB2312" w:hAnsi="仿宋_GB2312" w:eastAsia="仿宋_GB2312" w:cs="仿宋_GB2312"/>
                <w:sz w:val="32"/>
                <w:szCs w:val="32"/>
              </w:rPr>
            </w:pPr>
            <w:r>
              <w:rPr>
                <w:rFonts w:hint="eastAsia" w:ascii="仿宋_GB2312" w:hAnsi="仿宋" w:eastAsia="仿宋_GB2312" w:cs="仿宋_GB2312"/>
                <w:sz w:val="32"/>
                <w:szCs w:val="32"/>
              </w:rPr>
              <w:t>古田县现代工业创新赋能中心</w:t>
            </w:r>
          </w:p>
        </w:tc>
        <w:tc>
          <w:tcPr>
            <w:tcW w:w="2064" w:type="dxa"/>
            <w:noWrap w:val="0"/>
            <w:vAlign w:val="top"/>
          </w:tcPr>
          <w:p>
            <w:pPr>
              <w:spacing w:line="570" w:lineRule="exact"/>
              <w:rPr>
                <w:rFonts w:ascii="仿宋_GB2312" w:hAnsi="仿宋_GB2312" w:eastAsia="仿宋_GB2312" w:cs="仿宋_GB2312"/>
                <w:sz w:val="32"/>
                <w:szCs w:val="32"/>
              </w:rPr>
            </w:pPr>
            <w:r>
              <w:rPr>
                <w:rFonts w:hint="eastAsia" w:ascii="仿宋_GB2312" w:hAnsi="仿宋" w:eastAsia="仿宋_GB2312" w:cs="仿宋_GB2312"/>
                <w:sz w:val="32"/>
                <w:szCs w:val="32"/>
              </w:rPr>
              <w:t>3882380</w:t>
            </w:r>
          </w:p>
        </w:tc>
      </w:tr>
      <w:tr>
        <w:tblPrEx>
          <w:tblCellMar>
            <w:top w:w="0" w:type="dxa"/>
            <w:left w:w="108" w:type="dxa"/>
            <w:bottom w:w="0" w:type="dxa"/>
            <w:right w:w="108" w:type="dxa"/>
          </w:tblCellMar>
        </w:tblPrEx>
        <w:tc>
          <w:tcPr>
            <w:tcW w:w="7054" w:type="dxa"/>
            <w:noWrap w:val="0"/>
            <w:vAlign w:val="top"/>
          </w:tcPr>
          <w:p>
            <w:pPr>
              <w:spacing w:line="570" w:lineRule="exact"/>
              <w:ind w:firstLine="604" w:firstLineChars="200"/>
              <w:rPr>
                <w:rFonts w:ascii="仿宋_GB2312" w:hAnsi="仿宋_GB2312" w:eastAsia="仿宋_GB2312" w:cs="仿宋_GB2312"/>
                <w:sz w:val="32"/>
                <w:szCs w:val="32"/>
              </w:rPr>
            </w:pPr>
            <w:r>
              <w:rPr>
                <w:rFonts w:hint="eastAsia" w:ascii="仿宋_GB2312" w:hAnsi="仿宋" w:eastAsia="仿宋_GB2312" w:cs="仿宋_GB2312"/>
                <w:sz w:val="32"/>
                <w:szCs w:val="32"/>
              </w:rPr>
              <w:t>屏南县中小企业服务中心</w:t>
            </w:r>
          </w:p>
        </w:tc>
        <w:tc>
          <w:tcPr>
            <w:tcW w:w="2064" w:type="dxa"/>
            <w:noWrap w:val="0"/>
            <w:vAlign w:val="top"/>
          </w:tcPr>
          <w:p>
            <w:pPr>
              <w:spacing w:line="570" w:lineRule="exact"/>
              <w:rPr>
                <w:rFonts w:ascii="仿宋_GB2312" w:hAnsi="仿宋_GB2312" w:eastAsia="仿宋_GB2312" w:cs="仿宋_GB2312"/>
                <w:sz w:val="32"/>
                <w:szCs w:val="32"/>
              </w:rPr>
            </w:pPr>
            <w:r>
              <w:rPr>
                <w:rFonts w:hint="eastAsia" w:ascii="仿宋_GB2312" w:hAnsi="仿宋" w:eastAsia="仿宋_GB2312" w:cs="仿宋_GB2312"/>
                <w:sz w:val="32"/>
                <w:szCs w:val="32"/>
              </w:rPr>
              <w:t>3300655</w:t>
            </w:r>
          </w:p>
        </w:tc>
      </w:tr>
      <w:tr>
        <w:tblPrEx>
          <w:tblCellMar>
            <w:top w:w="0" w:type="dxa"/>
            <w:left w:w="108" w:type="dxa"/>
            <w:bottom w:w="0" w:type="dxa"/>
            <w:right w:w="108" w:type="dxa"/>
          </w:tblCellMar>
        </w:tblPrEx>
        <w:tc>
          <w:tcPr>
            <w:tcW w:w="7054" w:type="dxa"/>
            <w:noWrap w:val="0"/>
            <w:vAlign w:val="top"/>
          </w:tcPr>
          <w:p>
            <w:pPr>
              <w:spacing w:line="570" w:lineRule="exact"/>
              <w:ind w:firstLine="604" w:firstLineChars="200"/>
              <w:rPr>
                <w:rFonts w:ascii="仿宋_GB2312" w:hAnsi="仿宋_GB2312" w:eastAsia="仿宋_GB2312" w:cs="仿宋_GB2312"/>
                <w:sz w:val="32"/>
                <w:szCs w:val="32"/>
              </w:rPr>
            </w:pPr>
            <w:r>
              <w:rPr>
                <w:rFonts w:hint="eastAsia" w:ascii="仿宋_GB2312" w:hAnsi="仿宋" w:eastAsia="仿宋_GB2312" w:cs="仿宋_GB2312"/>
                <w:sz w:val="32"/>
                <w:szCs w:val="32"/>
              </w:rPr>
              <w:t>周宁县中小企业服务中心</w:t>
            </w:r>
            <w:r>
              <w:rPr>
                <w:rFonts w:hint="eastAsia" w:ascii="仿宋_GB2312" w:hAnsi="仿宋" w:eastAsia="仿宋_GB2312" w:cs="仿宋_GB2312"/>
                <w:sz w:val="32"/>
                <w:szCs w:val="32"/>
              </w:rPr>
              <w:tab/>
            </w:r>
          </w:p>
        </w:tc>
        <w:tc>
          <w:tcPr>
            <w:tcW w:w="2064" w:type="dxa"/>
            <w:noWrap w:val="0"/>
            <w:vAlign w:val="top"/>
          </w:tcPr>
          <w:p>
            <w:pPr>
              <w:spacing w:line="570" w:lineRule="exact"/>
              <w:rPr>
                <w:rFonts w:ascii="仿宋_GB2312" w:hAnsi="仿宋_GB2312" w:eastAsia="仿宋_GB2312" w:cs="仿宋_GB2312"/>
                <w:sz w:val="32"/>
                <w:szCs w:val="32"/>
              </w:rPr>
            </w:pPr>
            <w:r>
              <w:rPr>
                <w:rFonts w:hint="eastAsia" w:ascii="仿宋_GB2312" w:hAnsi="仿宋" w:eastAsia="仿宋_GB2312" w:cs="仿宋_GB2312"/>
                <w:sz w:val="32"/>
                <w:szCs w:val="32"/>
              </w:rPr>
              <w:t>5665115</w:t>
            </w:r>
          </w:p>
        </w:tc>
      </w:tr>
      <w:tr>
        <w:tblPrEx>
          <w:tblCellMar>
            <w:top w:w="0" w:type="dxa"/>
            <w:left w:w="108" w:type="dxa"/>
            <w:bottom w:w="0" w:type="dxa"/>
            <w:right w:w="108" w:type="dxa"/>
          </w:tblCellMar>
        </w:tblPrEx>
        <w:tc>
          <w:tcPr>
            <w:tcW w:w="7054" w:type="dxa"/>
            <w:noWrap w:val="0"/>
            <w:vAlign w:val="top"/>
          </w:tcPr>
          <w:p>
            <w:pPr>
              <w:spacing w:line="570" w:lineRule="exact"/>
              <w:ind w:firstLine="604"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寿宁县</w:t>
            </w:r>
            <w:r>
              <w:rPr>
                <w:rFonts w:hint="eastAsia" w:ascii="仿宋_GB2312" w:hAnsi="仿宋" w:cs="仿宋_GB2312"/>
                <w:sz w:val="32"/>
                <w:szCs w:val="32"/>
                <w:lang w:eastAsia="zh-CN"/>
              </w:rPr>
              <w:t>中小企业发展</w:t>
            </w:r>
            <w:r>
              <w:rPr>
                <w:rFonts w:hint="eastAsia" w:ascii="仿宋_GB2312" w:hAnsi="仿宋" w:eastAsia="仿宋_GB2312" w:cs="仿宋_GB2312"/>
                <w:sz w:val="32"/>
                <w:szCs w:val="32"/>
              </w:rPr>
              <w:t>服务中心</w:t>
            </w:r>
          </w:p>
        </w:tc>
        <w:tc>
          <w:tcPr>
            <w:tcW w:w="2064" w:type="dxa"/>
            <w:noWrap w:val="0"/>
            <w:vAlign w:val="top"/>
          </w:tcPr>
          <w:p>
            <w:pPr>
              <w:spacing w:line="570" w:lineRule="exact"/>
              <w:rPr>
                <w:rFonts w:hint="eastAsia" w:ascii="仿宋_GB2312" w:hAnsi="仿宋" w:eastAsia="仿宋_GB2312" w:cs="仿宋_GB2312"/>
                <w:sz w:val="32"/>
                <w:szCs w:val="32"/>
              </w:rPr>
            </w:pPr>
            <w:r>
              <w:rPr>
                <w:rFonts w:hint="eastAsia" w:ascii="仿宋_GB2312" w:hAnsi="仿宋" w:eastAsia="仿宋_GB2312" w:cs="仿宋_GB2312"/>
                <w:sz w:val="32"/>
                <w:szCs w:val="32"/>
              </w:rPr>
              <w:t>5508081</w:t>
            </w:r>
          </w:p>
        </w:tc>
      </w:tr>
      <w:tr>
        <w:tblPrEx>
          <w:tblCellMar>
            <w:top w:w="0" w:type="dxa"/>
            <w:left w:w="108" w:type="dxa"/>
            <w:bottom w:w="0" w:type="dxa"/>
            <w:right w:w="108" w:type="dxa"/>
          </w:tblCellMar>
        </w:tblPrEx>
        <w:tc>
          <w:tcPr>
            <w:tcW w:w="7054" w:type="dxa"/>
            <w:noWrap w:val="0"/>
            <w:vAlign w:val="top"/>
          </w:tcPr>
          <w:p>
            <w:pPr>
              <w:spacing w:line="570" w:lineRule="exact"/>
              <w:ind w:firstLine="604"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福安市工业和信息化服务中心</w:t>
            </w:r>
          </w:p>
        </w:tc>
        <w:tc>
          <w:tcPr>
            <w:tcW w:w="2064" w:type="dxa"/>
            <w:noWrap w:val="0"/>
            <w:vAlign w:val="top"/>
          </w:tcPr>
          <w:p>
            <w:pPr>
              <w:spacing w:line="570" w:lineRule="exact"/>
              <w:rPr>
                <w:rFonts w:hint="eastAsia" w:ascii="仿宋_GB2312" w:hAnsi="仿宋" w:eastAsia="仿宋_GB2312" w:cs="仿宋_GB2312"/>
                <w:sz w:val="32"/>
                <w:szCs w:val="32"/>
              </w:rPr>
            </w:pPr>
            <w:r>
              <w:rPr>
                <w:rFonts w:hint="eastAsia" w:ascii="仿宋_GB2312" w:hAnsi="仿宋" w:eastAsia="仿宋_GB2312" w:cs="仿宋_GB2312"/>
                <w:sz w:val="32"/>
                <w:szCs w:val="32"/>
              </w:rPr>
              <w:t>6797016</w:t>
            </w:r>
          </w:p>
        </w:tc>
      </w:tr>
      <w:tr>
        <w:tblPrEx>
          <w:tblCellMar>
            <w:top w:w="0" w:type="dxa"/>
            <w:left w:w="108" w:type="dxa"/>
            <w:bottom w:w="0" w:type="dxa"/>
            <w:right w:w="108" w:type="dxa"/>
          </w:tblCellMar>
        </w:tblPrEx>
        <w:tc>
          <w:tcPr>
            <w:tcW w:w="7054" w:type="dxa"/>
            <w:noWrap w:val="0"/>
            <w:vAlign w:val="top"/>
          </w:tcPr>
          <w:p>
            <w:pPr>
              <w:spacing w:line="570" w:lineRule="exact"/>
              <w:ind w:firstLine="604"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柘荣县企业服务中心</w:t>
            </w:r>
          </w:p>
        </w:tc>
        <w:tc>
          <w:tcPr>
            <w:tcW w:w="2064" w:type="dxa"/>
            <w:noWrap w:val="0"/>
            <w:vAlign w:val="top"/>
          </w:tcPr>
          <w:p>
            <w:pPr>
              <w:spacing w:line="570" w:lineRule="exact"/>
              <w:rPr>
                <w:rFonts w:hint="default" w:ascii="仿宋_GB2312" w:hAnsi="仿宋" w:eastAsia="仿宋_GB2312" w:cs="仿宋_GB2312"/>
                <w:sz w:val="32"/>
                <w:szCs w:val="32"/>
                <w:lang w:val="en-US" w:eastAsia="zh-CN"/>
              </w:rPr>
            </w:pPr>
            <w:r>
              <w:rPr>
                <w:rFonts w:hint="eastAsia" w:ascii="仿宋_GB2312" w:hAnsi="仿宋" w:cs="仿宋_GB2312"/>
                <w:sz w:val="32"/>
                <w:szCs w:val="32"/>
                <w:lang w:val="en-US" w:eastAsia="zh-CN"/>
              </w:rPr>
              <w:t>8352218</w:t>
            </w:r>
          </w:p>
        </w:tc>
      </w:tr>
      <w:tr>
        <w:tblPrEx>
          <w:tblCellMar>
            <w:top w:w="0" w:type="dxa"/>
            <w:left w:w="108" w:type="dxa"/>
            <w:bottom w:w="0" w:type="dxa"/>
            <w:right w:w="108" w:type="dxa"/>
          </w:tblCellMar>
        </w:tblPrEx>
        <w:tc>
          <w:tcPr>
            <w:tcW w:w="7054" w:type="dxa"/>
            <w:noWrap w:val="0"/>
            <w:vAlign w:val="top"/>
          </w:tcPr>
          <w:p>
            <w:pPr>
              <w:spacing w:line="570" w:lineRule="exact"/>
              <w:ind w:firstLine="604"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福鼎市中小企业服务中心</w:t>
            </w:r>
          </w:p>
        </w:tc>
        <w:tc>
          <w:tcPr>
            <w:tcW w:w="2064" w:type="dxa"/>
            <w:noWrap w:val="0"/>
            <w:vAlign w:val="top"/>
          </w:tcPr>
          <w:p>
            <w:pPr>
              <w:spacing w:line="570" w:lineRule="exact"/>
              <w:rPr>
                <w:rFonts w:hint="eastAsia" w:ascii="仿宋_GB2312" w:hAnsi="仿宋" w:eastAsia="仿宋_GB2312" w:cs="仿宋_GB2312"/>
                <w:sz w:val="32"/>
                <w:szCs w:val="32"/>
              </w:rPr>
            </w:pPr>
            <w:r>
              <w:rPr>
                <w:rFonts w:hint="eastAsia" w:ascii="仿宋_GB2312" w:hAnsi="仿宋" w:eastAsia="仿宋_GB2312" w:cs="仿宋_GB2312"/>
                <w:sz w:val="32"/>
                <w:szCs w:val="32"/>
              </w:rPr>
              <w:t>7676123</w:t>
            </w:r>
          </w:p>
        </w:tc>
      </w:tr>
      <w:tr>
        <w:tblPrEx>
          <w:tblCellMar>
            <w:top w:w="0" w:type="dxa"/>
            <w:left w:w="108" w:type="dxa"/>
            <w:bottom w:w="0" w:type="dxa"/>
            <w:right w:w="108" w:type="dxa"/>
          </w:tblCellMar>
        </w:tblPrEx>
        <w:tc>
          <w:tcPr>
            <w:tcW w:w="7054" w:type="dxa"/>
            <w:noWrap w:val="0"/>
            <w:vAlign w:val="top"/>
          </w:tcPr>
          <w:p>
            <w:pPr>
              <w:spacing w:line="570" w:lineRule="exact"/>
              <w:ind w:firstLine="604"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霞浦县企业服务中心</w:t>
            </w:r>
          </w:p>
        </w:tc>
        <w:tc>
          <w:tcPr>
            <w:tcW w:w="2064" w:type="dxa"/>
            <w:noWrap w:val="0"/>
            <w:vAlign w:val="top"/>
          </w:tcPr>
          <w:p>
            <w:pPr>
              <w:spacing w:line="570" w:lineRule="exact"/>
              <w:rPr>
                <w:rFonts w:hint="eastAsia" w:ascii="仿宋_GB2312" w:hAnsi="仿宋" w:eastAsia="仿宋_GB2312" w:cs="仿宋_GB2312"/>
                <w:sz w:val="32"/>
                <w:szCs w:val="32"/>
              </w:rPr>
            </w:pPr>
            <w:r>
              <w:rPr>
                <w:rFonts w:hint="eastAsia" w:ascii="仿宋_GB2312" w:hAnsi="仿宋" w:eastAsia="仿宋_GB2312" w:cs="仿宋_GB2312"/>
                <w:sz w:val="32"/>
                <w:szCs w:val="32"/>
              </w:rPr>
              <w:t>8899799</w:t>
            </w:r>
          </w:p>
        </w:tc>
      </w:tr>
      <w:tr>
        <w:tblPrEx>
          <w:tblCellMar>
            <w:top w:w="0" w:type="dxa"/>
            <w:left w:w="108" w:type="dxa"/>
            <w:bottom w:w="0" w:type="dxa"/>
            <w:right w:w="108" w:type="dxa"/>
          </w:tblCellMar>
        </w:tblPrEx>
        <w:tc>
          <w:tcPr>
            <w:tcW w:w="7054" w:type="dxa"/>
            <w:noWrap w:val="0"/>
            <w:vAlign w:val="top"/>
          </w:tcPr>
          <w:p>
            <w:pPr>
              <w:spacing w:line="570" w:lineRule="exact"/>
              <w:ind w:firstLine="580" w:firstLineChars="200"/>
              <w:rPr>
                <w:rFonts w:hint="eastAsia" w:ascii="仿宋_GB2312" w:hAnsi="仿宋" w:eastAsia="仿宋_GB2312" w:cs="仿宋_GB2312"/>
                <w:spacing w:val="-6"/>
                <w:sz w:val="32"/>
                <w:szCs w:val="32"/>
              </w:rPr>
            </w:pPr>
            <w:r>
              <w:rPr>
                <w:rFonts w:hint="eastAsia" w:ascii="仿宋_GB2312" w:hAnsi="仿宋" w:eastAsia="仿宋_GB2312" w:cs="仿宋_GB2312"/>
                <w:spacing w:val="-6"/>
                <w:sz w:val="32"/>
                <w:szCs w:val="32"/>
              </w:rPr>
              <w:t>东侨经济技术开发区行政服务中心企业服务科</w:t>
            </w:r>
          </w:p>
        </w:tc>
        <w:tc>
          <w:tcPr>
            <w:tcW w:w="2064" w:type="dxa"/>
            <w:noWrap w:val="0"/>
            <w:vAlign w:val="top"/>
          </w:tcPr>
          <w:p>
            <w:pPr>
              <w:spacing w:line="570" w:lineRule="exact"/>
              <w:rPr>
                <w:rFonts w:hint="eastAsia" w:ascii="仿宋_GB2312" w:hAnsi="仿宋" w:eastAsia="仿宋_GB2312" w:cs="仿宋_GB2312"/>
                <w:sz w:val="32"/>
                <w:szCs w:val="32"/>
              </w:rPr>
            </w:pPr>
            <w:r>
              <w:rPr>
                <w:rFonts w:hint="eastAsia" w:ascii="仿宋_GB2312" w:hAnsi="仿宋" w:eastAsia="仿宋_GB2312" w:cs="仿宋_GB2312"/>
                <w:sz w:val="32"/>
                <w:szCs w:val="32"/>
              </w:rPr>
              <w:t>2921317</w:t>
            </w:r>
          </w:p>
        </w:tc>
      </w:tr>
    </w:tbl>
    <w:p>
      <w:pPr>
        <w:spacing w:line="570" w:lineRule="exact"/>
        <w:ind w:firstLine="604" w:firstLineChars="200"/>
        <w:jc w:val="left"/>
        <w:rPr>
          <w:rFonts w:hint="eastAsia" w:ascii="黑体" w:hAnsi="黑体" w:eastAsia="黑体" w:cs="黑体"/>
          <w:sz w:val="32"/>
          <w:szCs w:val="32"/>
        </w:rPr>
      </w:pPr>
      <w:r>
        <w:rPr>
          <w:rFonts w:hint="eastAsia" w:ascii="黑体" w:hAnsi="黑体" w:eastAsia="黑体" w:cs="黑体"/>
          <w:sz w:val="32"/>
          <w:szCs w:val="32"/>
        </w:rPr>
        <w:t>二、“党企新时空·政企直通车”平台网址</w:t>
      </w:r>
    </w:p>
    <w:p>
      <w:pPr>
        <w:spacing w:line="570" w:lineRule="exact"/>
        <w:jc w:val="center"/>
        <w:rPr>
          <w:rFonts w:ascii="仿宋_GB2312" w:hAnsi="仿宋_GB2312" w:eastAsia="仿宋_GB2312" w:cs="仿宋_GB2312"/>
          <w:sz w:val="36"/>
          <w:szCs w:val="36"/>
        </w:rPr>
      </w:pPr>
      <w:r>
        <w:rPr>
          <w:rFonts w:hint="eastAsia" w:ascii="仿宋_GB2312" w:hAnsi="仿宋_GB2312" w:eastAsia="仿宋_GB2312" w:cs="仿宋_GB2312"/>
          <w:sz w:val="32"/>
          <w:szCs w:val="32"/>
        </w:rPr>
        <w:t>https://www.ndzqztc.com/</w:t>
      </w:r>
    </w:p>
    <w:p>
      <w:pPr>
        <w:spacing w:line="570" w:lineRule="exact"/>
        <w:ind w:firstLine="1026" w:firstLineChars="300"/>
        <w:jc w:val="lef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drawing>
          <wp:anchor distT="0" distB="0" distL="114300" distR="114300" simplePos="0" relativeHeight="251660288" behindDoc="0" locked="0" layoutInCell="1" allowOverlap="1">
            <wp:simplePos x="0" y="0"/>
            <wp:positionH relativeFrom="column">
              <wp:posOffset>2007870</wp:posOffset>
            </wp:positionH>
            <wp:positionV relativeFrom="paragraph">
              <wp:posOffset>139065</wp:posOffset>
            </wp:positionV>
            <wp:extent cx="1407795" cy="1407795"/>
            <wp:effectExtent l="0" t="0" r="1905" b="1905"/>
            <wp:wrapNone/>
            <wp:docPr id="2" name="图片 2" descr="政企直通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政企直通车"/>
                    <pic:cNvPicPr>
                      <a:picLocks noChangeAspect="1"/>
                    </pic:cNvPicPr>
                  </pic:nvPicPr>
                  <pic:blipFill>
                    <a:blip r:embed="rId10"/>
                    <a:stretch>
                      <a:fillRect/>
                    </a:stretch>
                  </pic:blipFill>
                  <pic:spPr>
                    <a:xfrm>
                      <a:off x="0" y="0"/>
                      <a:ext cx="1407795" cy="1407795"/>
                    </a:xfrm>
                    <a:prstGeom prst="rect">
                      <a:avLst/>
                    </a:prstGeom>
                    <a:noFill/>
                    <a:ln>
                      <a:noFill/>
                    </a:ln>
                  </pic:spPr>
                </pic:pic>
              </a:graphicData>
            </a:graphic>
          </wp:anchor>
        </w:drawing>
      </w:r>
    </w:p>
    <w:p>
      <w:pPr>
        <w:spacing w:line="570" w:lineRule="exact"/>
        <w:ind w:firstLine="1710" w:firstLineChars="500"/>
        <w:jc w:val="left"/>
        <w:rPr>
          <w:rFonts w:ascii="仿宋_GB2312" w:hAnsi="仿宋_GB2312" w:eastAsia="仿宋_GB2312" w:cs="仿宋_GB2312"/>
          <w:sz w:val="36"/>
          <w:szCs w:val="36"/>
        </w:rPr>
      </w:pPr>
    </w:p>
    <w:p>
      <w:pPr>
        <w:spacing w:line="570" w:lineRule="exact"/>
        <w:ind w:firstLine="1510" w:firstLineChars="500"/>
        <w:jc w:val="left"/>
        <w:rPr>
          <w:rFonts w:ascii="仿宋_GB2312" w:hAnsi="仿宋_GB2312" w:eastAsia="仿宋_GB2312" w:cs="仿宋_GB2312"/>
          <w:sz w:val="32"/>
          <w:szCs w:val="32"/>
        </w:rPr>
      </w:pPr>
    </w:p>
    <w:p>
      <w:pPr>
        <w:spacing w:line="560" w:lineRule="exact"/>
        <w:ind w:firstLine="1510" w:firstLineChars="500"/>
        <w:jc w:val="left"/>
        <w:rPr>
          <w:rFonts w:hint="eastAsia" w:ascii="仿宋_GB2312" w:hAnsi="仿宋_GB2312" w:eastAsia="仿宋_GB2312" w:cs="仿宋_GB2312"/>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2098" w:right="1417" w:bottom="1587" w:left="1588" w:header="851" w:footer="1361" w:gutter="0"/>
          <w:pgNumType w:fmt="decimal"/>
          <w:cols w:space="720" w:num="1"/>
          <w:docGrid w:type="linesAndChars" w:linePitch="634" w:charSpace="-3885"/>
        </w:sectPr>
      </w:pPr>
    </w:p>
    <w:p>
      <w:pPr>
        <w:spacing w:line="560" w:lineRule="exact"/>
        <w:jc w:val="left"/>
        <w:rPr>
          <w:rFonts w:hint="eastAsia" w:ascii="黑体" w:hAnsi="黑体" w:eastAsia="黑体" w:cs="黑体"/>
          <w:color w:val="000000"/>
          <w:kern w:val="0"/>
          <w:sz w:val="32"/>
          <w:szCs w:val="32"/>
          <w:lang w:bidi="ar"/>
        </w:rPr>
      </w:pPr>
      <w:r>
        <w:rPr>
          <w:rFonts w:hint="eastAsia" w:ascii="黑体" w:hAnsi="黑体" w:eastAsia="黑体" w:cs="黑体"/>
          <w:color w:val="000000"/>
          <w:kern w:val="0"/>
          <w:sz w:val="32"/>
          <w:szCs w:val="32"/>
          <w:lang w:bidi="ar"/>
        </w:rPr>
        <w:t>附件2</w:t>
      </w:r>
    </w:p>
    <w:p>
      <w:pPr>
        <w:spacing w:after="157" w:afterLines="50" w:line="560" w:lineRule="exact"/>
        <w:jc w:val="center"/>
        <w:rPr>
          <w:rFonts w:hint="eastAsia" w:ascii="方正小标宋简体" w:hAnsi="仿宋" w:eastAsia="方正小标宋简体" w:cs="方正小标宋简体"/>
          <w:color w:val="000000"/>
          <w:kern w:val="0"/>
          <w:sz w:val="44"/>
          <w:szCs w:val="44"/>
          <w:lang w:bidi="ar"/>
        </w:rPr>
      </w:pPr>
      <w:r>
        <w:rPr>
          <w:rFonts w:hint="eastAsia" w:ascii="方正小标宋简体" w:hAnsi="仿宋" w:eastAsia="方正小标宋简体" w:cs="方正小标宋简体"/>
          <w:color w:val="000000"/>
          <w:kern w:val="0"/>
          <w:sz w:val="44"/>
          <w:szCs w:val="44"/>
          <w:lang w:bidi="ar"/>
        </w:rPr>
        <w:t>2024年首违不罚事项清单</w:t>
      </w:r>
    </w:p>
    <w:tbl>
      <w:tblPr>
        <w:tblStyle w:val="6"/>
        <w:tblW w:w="13859" w:type="dxa"/>
        <w:tblInd w:w="91" w:type="dxa"/>
        <w:tblLayout w:type="fixed"/>
        <w:tblCellMar>
          <w:top w:w="0" w:type="dxa"/>
          <w:left w:w="108" w:type="dxa"/>
          <w:bottom w:w="0" w:type="dxa"/>
          <w:right w:w="108" w:type="dxa"/>
        </w:tblCellMar>
      </w:tblPr>
      <w:tblGrid>
        <w:gridCol w:w="928"/>
        <w:gridCol w:w="7855"/>
        <w:gridCol w:w="5076"/>
      </w:tblGrid>
      <w:tr>
        <w:tblPrEx>
          <w:tblCellMar>
            <w:top w:w="0" w:type="dxa"/>
            <w:left w:w="108" w:type="dxa"/>
            <w:bottom w:w="0" w:type="dxa"/>
            <w:right w:w="108" w:type="dxa"/>
          </w:tblCellMar>
        </w:tblPrEx>
        <w:trPr>
          <w:trHeight w:val="55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lang w:bidi="ar"/>
              </w:rPr>
              <w:t>序号</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事项名称</w:t>
            </w:r>
          </w:p>
        </w:tc>
        <w:tc>
          <w:tcPr>
            <w:tcW w:w="507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适用条件</w:t>
            </w:r>
          </w:p>
        </w:tc>
      </w:tr>
      <w:tr>
        <w:tblPrEx>
          <w:tblCellMar>
            <w:top w:w="0" w:type="dxa"/>
            <w:left w:w="108" w:type="dxa"/>
            <w:bottom w:w="0" w:type="dxa"/>
            <w:right w:w="108" w:type="dxa"/>
          </w:tblCellMar>
        </w:tblPrEx>
        <w:trPr>
          <w:trHeight w:val="615" w:hRule="atLeast"/>
          <w:tblHeader/>
        </w:trPr>
        <w:tc>
          <w:tcPr>
            <w:tcW w:w="13859" w:type="dxa"/>
            <w:gridSpan w:val="3"/>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left"/>
              <w:textAlignment w:val="center"/>
              <w:rPr>
                <w:rFonts w:ascii="楷体_GB2312" w:hAnsi="宋体" w:eastAsia="楷体_GB2312" w:cs="楷体_GB2312"/>
                <w:bCs/>
                <w:color w:val="000000"/>
                <w:sz w:val="26"/>
                <w:szCs w:val="26"/>
              </w:rPr>
            </w:pPr>
            <w:r>
              <w:rPr>
                <w:rFonts w:hint="eastAsia" w:ascii="楷体_GB2312" w:hAnsi="宋体" w:eastAsia="楷体_GB2312" w:cs="楷体_GB2312"/>
                <w:bCs/>
                <w:color w:val="000000"/>
                <w:kern w:val="0"/>
                <w:sz w:val="26"/>
                <w:szCs w:val="26"/>
                <w:lang w:bidi="ar"/>
              </w:rPr>
              <w:t>一、宁德市人力资源和社会保障局</w:t>
            </w:r>
          </w:p>
        </w:tc>
      </w:tr>
      <w:tr>
        <w:tblPrEx>
          <w:tblCellMar>
            <w:top w:w="0" w:type="dxa"/>
            <w:left w:w="108" w:type="dxa"/>
            <w:bottom w:w="0" w:type="dxa"/>
            <w:right w:w="108" w:type="dxa"/>
          </w:tblCellMar>
        </w:tblPrEx>
        <w:trPr>
          <w:trHeight w:val="917"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ascii="仿宋_GB2312" w:hAnsi="宋体" w:eastAsia="仿宋_GB2312" w:cs="仿宋_GB2312"/>
                <w:color w:val="000000"/>
                <w:sz w:val="24"/>
              </w:rPr>
            </w:pPr>
            <w:r>
              <w:rPr>
                <w:rFonts w:hint="eastAsia" w:ascii="仿宋_GB2312" w:hAnsi="宋体" w:eastAsia="仿宋_GB2312" w:cs="仿宋_GB2312"/>
                <w:color w:val="000000"/>
                <w:kern w:val="0"/>
                <w:sz w:val="24"/>
                <w:lang w:bidi="ar"/>
              </w:rPr>
              <w:t>1</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对用人单位招用无合法身份证件人员的处罚。</w:t>
            </w:r>
          </w:p>
        </w:tc>
        <w:tc>
          <w:tcPr>
            <w:tcW w:w="507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同时具备以下条件：</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1.涉及3人以下；</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2.检查之日前12个月无违反同一规定的查处记录；</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3.未造成危害后果；</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4.主动改正或在行政机关责令（限期）改正限期内改正。</w:t>
            </w:r>
          </w:p>
        </w:tc>
      </w:tr>
      <w:tr>
        <w:tblPrEx>
          <w:tblCellMar>
            <w:top w:w="0" w:type="dxa"/>
            <w:left w:w="108" w:type="dxa"/>
            <w:bottom w:w="0" w:type="dxa"/>
            <w:right w:w="108" w:type="dxa"/>
          </w:tblCellMar>
        </w:tblPrEx>
        <w:trPr>
          <w:trHeight w:val="733"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对用人单位以招用人员为名牟取不正当利益或进行其他违法活动的处罚。</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1521"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对用人单位在国家法律、行政法规和国务院卫生行政部门规定禁止乙肝病原携带者从事的工作岗位以外招用人员时，将乙肝病毒血清学指标作为体检标准的处罚。</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1029"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4</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对职业中介机构在职业中介服务不成功后未向劳动者退还所收取的中介服务费的处罚。</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852"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5</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对职业中介机构为无合法身份证件的劳动者提供职业中介服务的处罚。</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128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6</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对用人单位以民族、性别、宗教信仰为由拒绝聘用或者提高聘用标准，招聘不得招聘人员的，或采取欺诈等手段谋取非法利益的处罚。</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510"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lang w:bidi="ar"/>
              </w:rPr>
              <w:t>序号</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事项名称</w:t>
            </w:r>
          </w:p>
        </w:tc>
        <w:tc>
          <w:tcPr>
            <w:tcW w:w="507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适用条件</w:t>
            </w:r>
          </w:p>
        </w:tc>
      </w:tr>
      <w:tr>
        <w:tblPrEx>
          <w:tblCellMar>
            <w:top w:w="0" w:type="dxa"/>
            <w:left w:w="108" w:type="dxa"/>
            <w:bottom w:w="0" w:type="dxa"/>
            <w:right w:w="108" w:type="dxa"/>
          </w:tblCellMar>
        </w:tblPrEx>
        <w:trPr>
          <w:trHeight w:val="246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7</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对职业中介机构未建立服务台账，或虽建立服务台账但未记录服务对象、服务过程、服务结果和收费情况的处罚。</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同时具备以下条件：</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1.至检查之日持续时间3个月以下；</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2.未造成危害后果；</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3.检查之日前12个月无违反同一规定的查处记录；</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4.主动改正或在行政机关责令（限期）改正限期内改正。</w:t>
            </w:r>
          </w:p>
        </w:tc>
      </w:tr>
      <w:tr>
        <w:tblPrEx>
          <w:tblCellMar>
            <w:top w:w="0" w:type="dxa"/>
            <w:left w:w="108" w:type="dxa"/>
            <w:bottom w:w="0" w:type="dxa"/>
            <w:right w:w="108" w:type="dxa"/>
          </w:tblCellMar>
        </w:tblPrEx>
        <w:trPr>
          <w:trHeight w:val="1698"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8</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对缴费单位未按规定变更社会保险登记或者注销登记的处罚。</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同时具备以下条件：</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1.超过规定期限3个月以下；</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2.未造成危害后果；</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3.主动改正或在行政机关责令（限期）改正限期内改正。</w:t>
            </w:r>
          </w:p>
        </w:tc>
      </w:tr>
      <w:tr>
        <w:tblPrEx>
          <w:tblCellMar>
            <w:top w:w="0" w:type="dxa"/>
            <w:left w:w="108" w:type="dxa"/>
            <w:bottom w:w="0" w:type="dxa"/>
            <w:right w:w="108" w:type="dxa"/>
          </w:tblCellMar>
        </w:tblPrEx>
        <w:trPr>
          <w:trHeight w:val="560" w:hRule="atLeast"/>
          <w:tblHeader/>
        </w:trPr>
        <w:tc>
          <w:tcPr>
            <w:tcW w:w="13859" w:type="dxa"/>
            <w:gridSpan w:val="3"/>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left"/>
              <w:textAlignment w:val="center"/>
              <w:rPr>
                <w:rFonts w:hint="eastAsia" w:ascii="楷体_GB2312" w:hAnsi="宋体" w:eastAsia="楷体_GB2312" w:cs="楷体_GB2312"/>
                <w:bCs/>
                <w:color w:val="000000"/>
                <w:kern w:val="0"/>
                <w:sz w:val="26"/>
                <w:szCs w:val="26"/>
                <w:lang w:bidi="ar"/>
              </w:rPr>
            </w:pPr>
            <w:r>
              <w:rPr>
                <w:rFonts w:hint="eastAsia" w:ascii="楷体_GB2312" w:hAnsi="宋体" w:eastAsia="楷体_GB2312" w:cs="楷体_GB2312"/>
                <w:bCs/>
                <w:color w:val="000000"/>
                <w:kern w:val="0"/>
                <w:sz w:val="26"/>
                <w:szCs w:val="26"/>
                <w:lang w:bidi="ar"/>
              </w:rPr>
              <w:t>二、宁德市生态环境局</w:t>
            </w:r>
          </w:p>
        </w:tc>
      </w:tr>
      <w:tr>
        <w:tblPrEx>
          <w:tblCellMar>
            <w:top w:w="0" w:type="dxa"/>
            <w:left w:w="108" w:type="dxa"/>
            <w:bottom w:w="0" w:type="dxa"/>
            <w:right w:w="108" w:type="dxa"/>
          </w:tblCellMar>
        </w:tblPrEx>
        <w:trPr>
          <w:trHeight w:val="118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9</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对超过污染物排放标准排放污染物的处罚。</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初次违法，持续时间短，超标排放污染物中常规污染物单因子超标倍数≤0.1倍，自责令改正决定书下达当日内完成整改并达标排放的。</w:t>
            </w:r>
          </w:p>
        </w:tc>
      </w:tr>
      <w:tr>
        <w:tblPrEx>
          <w:tblCellMar>
            <w:top w:w="0" w:type="dxa"/>
            <w:left w:w="108" w:type="dxa"/>
            <w:bottom w:w="0" w:type="dxa"/>
            <w:right w:w="108" w:type="dxa"/>
          </w:tblCellMar>
        </w:tblPrEx>
        <w:trPr>
          <w:trHeight w:val="913"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10</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对未依法报批建设项目环境影响报告书（表）而擅自开工建设的处罚。</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初次违法，未造成明显环境污染后果，且企业自行实施关停、停止建设等措施的。</w:t>
            </w:r>
          </w:p>
        </w:tc>
      </w:tr>
      <w:tr>
        <w:tblPrEx>
          <w:tblCellMar>
            <w:top w:w="0" w:type="dxa"/>
            <w:left w:w="108" w:type="dxa"/>
            <w:bottom w:w="0" w:type="dxa"/>
            <w:right w:w="108" w:type="dxa"/>
          </w:tblCellMar>
        </w:tblPrEx>
        <w:trPr>
          <w:trHeight w:val="898"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11</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对建设项目未经环保验收或者验收不合格即投入生产或者使用的处罚。</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初次违法，未造成环境污染后果，且企业立即实施关停、停止建设、停止生产或者使用的。</w:t>
            </w:r>
          </w:p>
        </w:tc>
      </w:tr>
      <w:tr>
        <w:tblPrEx>
          <w:tblCellMar>
            <w:top w:w="0" w:type="dxa"/>
            <w:left w:w="108" w:type="dxa"/>
            <w:bottom w:w="0" w:type="dxa"/>
            <w:right w:w="108" w:type="dxa"/>
          </w:tblCellMar>
        </w:tblPrEx>
        <w:trPr>
          <w:trHeight w:val="480"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lang w:bidi="ar"/>
              </w:rPr>
              <w:t>序号</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事项名称</w:t>
            </w:r>
          </w:p>
        </w:tc>
        <w:tc>
          <w:tcPr>
            <w:tcW w:w="507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适用条件</w:t>
            </w:r>
          </w:p>
        </w:tc>
      </w:tr>
      <w:tr>
        <w:tblPrEx>
          <w:tblCellMar>
            <w:top w:w="0" w:type="dxa"/>
            <w:left w:w="108" w:type="dxa"/>
            <w:bottom w:w="0" w:type="dxa"/>
            <w:right w:w="108" w:type="dxa"/>
          </w:tblCellMar>
        </w:tblPrEx>
        <w:trPr>
          <w:trHeight w:val="1396"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12</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对未按照国家环境保护标准贮存危险废物或者将危险废物混入非危险废物中贮存的处罚。</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不规范贮存危险废物数量小于0.01吨，初次违法，经检查指出后当日改正，且未发生扬散、流失、渗漏或其他环境污染情形的。</w:t>
            </w:r>
          </w:p>
        </w:tc>
      </w:tr>
      <w:tr>
        <w:tblPrEx>
          <w:tblCellMar>
            <w:top w:w="0" w:type="dxa"/>
            <w:left w:w="108" w:type="dxa"/>
            <w:bottom w:w="0" w:type="dxa"/>
            <w:right w:w="108" w:type="dxa"/>
          </w:tblCellMar>
        </w:tblPrEx>
        <w:trPr>
          <w:trHeight w:val="181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13</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对未经安全性处置，混合贮存具有不相容性质的危险废物的处罚。</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不规范贮存危险废物数量小于0.01吨，时间不超过24小时，初次违法，经检查指出后当日改正，且未发生扬散、流失、渗漏或其他环境污染情形的。</w:t>
            </w:r>
          </w:p>
        </w:tc>
      </w:tr>
      <w:tr>
        <w:tblPrEx>
          <w:tblCellMar>
            <w:top w:w="0" w:type="dxa"/>
            <w:left w:w="108" w:type="dxa"/>
            <w:bottom w:w="0" w:type="dxa"/>
            <w:right w:w="108" w:type="dxa"/>
          </w:tblCellMar>
        </w:tblPrEx>
        <w:trPr>
          <w:trHeight w:val="628" w:hRule="atLeast"/>
          <w:tblHeader/>
        </w:trPr>
        <w:tc>
          <w:tcPr>
            <w:tcW w:w="13859" w:type="dxa"/>
            <w:gridSpan w:val="3"/>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left"/>
              <w:textAlignment w:val="center"/>
              <w:rPr>
                <w:rFonts w:hint="eastAsia" w:ascii="楷体_GB2312" w:hAnsi="宋体" w:eastAsia="楷体_GB2312" w:cs="楷体_GB2312"/>
                <w:bCs/>
                <w:color w:val="000000"/>
                <w:kern w:val="0"/>
                <w:sz w:val="26"/>
                <w:szCs w:val="26"/>
                <w:lang w:bidi="ar"/>
              </w:rPr>
            </w:pPr>
            <w:r>
              <w:rPr>
                <w:rFonts w:hint="eastAsia" w:ascii="楷体_GB2312" w:hAnsi="宋体" w:eastAsia="楷体_GB2312" w:cs="楷体_GB2312"/>
                <w:bCs/>
                <w:color w:val="000000"/>
                <w:kern w:val="0"/>
                <w:sz w:val="26"/>
                <w:szCs w:val="26"/>
                <w:lang w:bidi="ar"/>
              </w:rPr>
              <w:t>三、宁德市应急管理局</w:t>
            </w:r>
          </w:p>
        </w:tc>
      </w:tr>
      <w:tr>
        <w:tblPrEx>
          <w:tblCellMar>
            <w:top w:w="0" w:type="dxa"/>
            <w:left w:w="108" w:type="dxa"/>
            <w:bottom w:w="0" w:type="dxa"/>
            <w:right w:w="108" w:type="dxa"/>
          </w:tblCellMar>
        </w:tblPrEx>
        <w:trPr>
          <w:trHeight w:val="121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14</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生产经营单位未将安全培训工作纳入本单位工作计划并保证安全培训工作所需资金的处罚。</w:t>
            </w:r>
          </w:p>
        </w:tc>
        <w:tc>
          <w:tcPr>
            <w:tcW w:w="507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除非煤矿山、危险化学品、烟花爆竹、金属冶炼、涉爆粉尘等安全风险等级较高以外的其他生产经营单位，属于首次被发现，违法行为轻微且责令限期改正后及时改正，没有造成危害后果的。</w:t>
            </w:r>
          </w:p>
        </w:tc>
      </w:tr>
      <w:tr>
        <w:tblPrEx>
          <w:tblCellMar>
            <w:top w:w="0" w:type="dxa"/>
            <w:left w:w="108" w:type="dxa"/>
            <w:bottom w:w="0" w:type="dxa"/>
            <w:right w:w="108" w:type="dxa"/>
          </w:tblCellMar>
        </w:tblPrEx>
        <w:trPr>
          <w:trHeight w:val="1332"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15</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事故风险可能影响周边单位、人员的，生产经营单位未将事故风险的性质、影响范围和应急防范措施告知周边单位和人员的。</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193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16</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生产经营单位从业人员进行安全培训期间未支付工资并承担安全培训费用的处罚。</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除非煤矿山、危险化学品、烟花爆竹、金属冶炼、涉爆粉尘等安全风险等级较高以外的其他生产经营单位，属于首次被发现，且责令限期改正后及时改正，危害后果轻微的。</w:t>
            </w:r>
          </w:p>
        </w:tc>
      </w:tr>
      <w:tr>
        <w:tblPrEx>
          <w:tblCellMar>
            <w:top w:w="0" w:type="dxa"/>
            <w:left w:w="108" w:type="dxa"/>
            <w:bottom w:w="0" w:type="dxa"/>
            <w:right w:w="108" w:type="dxa"/>
          </w:tblCellMar>
        </w:tblPrEx>
        <w:trPr>
          <w:trHeight w:val="510"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lang w:bidi="ar"/>
              </w:rPr>
              <w:t>序号</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事项名称</w:t>
            </w:r>
          </w:p>
        </w:tc>
        <w:tc>
          <w:tcPr>
            <w:tcW w:w="507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适用条件</w:t>
            </w:r>
          </w:p>
        </w:tc>
      </w:tr>
      <w:tr>
        <w:tblPrEx>
          <w:tblCellMar>
            <w:top w:w="0" w:type="dxa"/>
            <w:left w:w="108" w:type="dxa"/>
            <w:bottom w:w="0" w:type="dxa"/>
            <w:right w:w="108" w:type="dxa"/>
          </w:tblCellMar>
        </w:tblPrEx>
        <w:trPr>
          <w:trHeight w:val="2651"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17</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生产经营单位未按照规定开展应急预案评估的。</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除非煤矿山、危险化学品、烟花爆竹、金属冶炼、涉爆粉尘等安全风险等级较高以外的其他生产经营单位，有开展应急预案评估，但未对预案内容的针对性和实用性进行分析，属于首次被发现，违法行为轻微且责令限期改正后及时改正，没有造成危害后果的。</w:t>
            </w:r>
          </w:p>
        </w:tc>
      </w:tr>
      <w:tr>
        <w:tblPrEx>
          <w:tblCellMar>
            <w:top w:w="0" w:type="dxa"/>
            <w:left w:w="108" w:type="dxa"/>
            <w:bottom w:w="0" w:type="dxa"/>
            <w:right w:w="108" w:type="dxa"/>
          </w:tblCellMar>
        </w:tblPrEx>
        <w:trPr>
          <w:trHeight w:val="540" w:hRule="atLeast"/>
          <w:tblHeader/>
        </w:trPr>
        <w:tc>
          <w:tcPr>
            <w:tcW w:w="13859" w:type="dxa"/>
            <w:gridSpan w:val="3"/>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left"/>
              <w:textAlignment w:val="center"/>
              <w:rPr>
                <w:rFonts w:hint="eastAsia" w:ascii="楷体_GB2312" w:hAnsi="宋体" w:eastAsia="楷体_GB2312" w:cs="楷体_GB2312"/>
                <w:bCs/>
                <w:color w:val="000000"/>
                <w:kern w:val="0"/>
                <w:sz w:val="26"/>
                <w:szCs w:val="26"/>
                <w:lang w:bidi="ar"/>
              </w:rPr>
            </w:pPr>
            <w:r>
              <w:rPr>
                <w:rFonts w:hint="eastAsia" w:ascii="楷体_GB2312" w:hAnsi="宋体" w:eastAsia="楷体_GB2312" w:cs="楷体_GB2312"/>
                <w:bCs/>
                <w:color w:val="000000"/>
                <w:kern w:val="0"/>
                <w:sz w:val="26"/>
                <w:szCs w:val="26"/>
                <w:lang w:bidi="ar"/>
              </w:rPr>
              <w:t>四、宁德市市场监督管理局</w:t>
            </w:r>
          </w:p>
        </w:tc>
      </w:tr>
      <w:tr>
        <w:tblPrEx>
          <w:tblCellMar>
            <w:top w:w="0" w:type="dxa"/>
            <w:left w:w="108" w:type="dxa"/>
            <w:bottom w:w="0" w:type="dxa"/>
            <w:right w:w="108" w:type="dxa"/>
          </w:tblCellMar>
        </w:tblPrEx>
        <w:trPr>
          <w:trHeight w:val="2496"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18</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广告主在自有经营场所、自设网站或拥有合法使用权的互联网媒介发布广告使用“国家级”、“最高级”、“最佳”等用语。</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1.属于初次被发现实施违法行为；</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2.属于广告主在自有经营场所、自设网站或拥有合法使用权的互联网媒介发布（在第三方平台所提供网络页面发布的须没有平台首页链接，在其他互联网媒介发布的须没有付费搜索链接）的广告。</w:t>
            </w:r>
          </w:p>
        </w:tc>
      </w:tr>
      <w:tr>
        <w:tblPrEx>
          <w:tblCellMar>
            <w:top w:w="0" w:type="dxa"/>
            <w:left w:w="108" w:type="dxa"/>
            <w:bottom w:w="0" w:type="dxa"/>
            <w:right w:w="108" w:type="dxa"/>
          </w:tblCellMar>
        </w:tblPrEx>
        <w:trPr>
          <w:trHeight w:val="90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19</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广告引证内容未表明出处。</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1.属于初次被发现实施违法行为；</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2.广告引证内容真实、准确的。</w:t>
            </w:r>
          </w:p>
        </w:tc>
      </w:tr>
      <w:tr>
        <w:tblPrEx>
          <w:tblCellMar>
            <w:top w:w="0" w:type="dxa"/>
            <w:left w:w="108" w:type="dxa"/>
            <w:bottom w:w="0" w:type="dxa"/>
            <w:right w:w="108" w:type="dxa"/>
          </w:tblCellMar>
        </w:tblPrEx>
        <w:trPr>
          <w:trHeight w:val="707"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20</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通过大众传播媒介发布的广告未显著标明“广告”字样。</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属于初次被发现实施违法行为。</w:t>
            </w:r>
          </w:p>
        </w:tc>
      </w:tr>
      <w:tr>
        <w:tblPrEx>
          <w:tblCellMar>
            <w:top w:w="0" w:type="dxa"/>
            <w:left w:w="108" w:type="dxa"/>
            <w:bottom w:w="0" w:type="dxa"/>
            <w:right w:w="108" w:type="dxa"/>
          </w:tblCellMar>
        </w:tblPrEx>
        <w:trPr>
          <w:trHeight w:val="1067"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21</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广告中涉及已取得合法有效专利证明的专利产品或专利方法未标明专利号和专利种类。</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1.属于初次被发现实施违法行为；</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2.已取得合法有效的专利证明的。</w:t>
            </w:r>
          </w:p>
        </w:tc>
      </w:tr>
      <w:tr>
        <w:tblPrEx>
          <w:tblCellMar>
            <w:top w:w="0" w:type="dxa"/>
            <w:left w:w="108" w:type="dxa"/>
            <w:bottom w:w="0" w:type="dxa"/>
            <w:right w:w="108" w:type="dxa"/>
          </w:tblCellMar>
        </w:tblPrEx>
        <w:trPr>
          <w:trHeight w:val="61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lang w:bidi="ar"/>
              </w:rPr>
              <w:t>序号</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事项名称</w:t>
            </w:r>
          </w:p>
        </w:tc>
        <w:tc>
          <w:tcPr>
            <w:tcW w:w="507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适用条件</w:t>
            </w:r>
          </w:p>
        </w:tc>
      </w:tr>
      <w:tr>
        <w:tblPrEx>
          <w:tblCellMar>
            <w:top w:w="0" w:type="dxa"/>
            <w:left w:w="108" w:type="dxa"/>
            <w:bottom w:w="0" w:type="dxa"/>
            <w:right w:w="108" w:type="dxa"/>
          </w:tblCellMar>
        </w:tblPrEx>
        <w:trPr>
          <w:trHeight w:val="1649"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22</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经营者未依法取得营业执照从事不涉及人身健康、公共安全、环境安全的经营活动。</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1.属于初次被发现实施违法行为；</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2.违法行为持续时间不超过1个月；</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3.立案调查前已提交申请办理营业执照材料的。</w:t>
            </w:r>
          </w:p>
        </w:tc>
      </w:tr>
      <w:tr>
        <w:tblPrEx>
          <w:tblCellMar>
            <w:top w:w="0" w:type="dxa"/>
            <w:left w:w="108" w:type="dxa"/>
            <w:bottom w:w="0" w:type="dxa"/>
            <w:right w:w="108" w:type="dxa"/>
          </w:tblCellMar>
        </w:tblPrEx>
        <w:trPr>
          <w:trHeight w:val="2963"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23</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查封经营没有中文标签的预包装食品的场所。</w:t>
            </w:r>
          </w:p>
        </w:tc>
        <w:tc>
          <w:tcPr>
            <w:tcW w:w="5076"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1.属于初次被发现实施违法行为；</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2.商品包装箱上有中文标签，仅是最小销售单元上未加贴中文标签，且包装箱内附有数量相符的最小销售单元的中文标签的;</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3.有充分证据证明食品尚未售出的；</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4.进口凭证齐全、履行索证索票进货查验义务到位的。</w:t>
            </w:r>
          </w:p>
        </w:tc>
      </w:tr>
      <w:tr>
        <w:tblPrEx>
          <w:tblCellMar>
            <w:top w:w="0" w:type="dxa"/>
            <w:left w:w="108" w:type="dxa"/>
            <w:bottom w:w="0" w:type="dxa"/>
            <w:right w:w="108" w:type="dxa"/>
          </w:tblCellMar>
        </w:tblPrEx>
        <w:trPr>
          <w:trHeight w:val="553" w:hRule="atLeast"/>
          <w:tblHeader/>
        </w:trPr>
        <w:tc>
          <w:tcPr>
            <w:tcW w:w="13859" w:type="dxa"/>
            <w:gridSpan w:val="3"/>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left"/>
              <w:textAlignment w:val="center"/>
              <w:rPr>
                <w:rFonts w:hint="eastAsia" w:ascii="楷体_GB2312" w:hAnsi="宋体" w:eastAsia="楷体_GB2312" w:cs="楷体_GB2312"/>
                <w:bCs/>
                <w:color w:val="000000"/>
                <w:kern w:val="0"/>
                <w:sz w:val="26"/>
                <w:szCs w:val="26"/>
                <w:lang w:bidi="ar"/>
              </w:rPr>
            </w:pPr>
            <w:r>
              <w:rPr>
                <w:rFonts w:hint="eastAsia" w:ascii="楷体_GB2312" w:hAnsi="宋体" w:eastAsia="楷体_GB2312" w:cs="楷体_GB2312"/>
                <w:bCs/>
                <w:color w:val="000000"/>
                <w:kern w:val="0"/>
                <w:sz w:val="26"/>
                <w:szCs w:val="26"/>
                <w:lang w:bidi="ar"/>
              </w:rPr>
              <w:t>五、宁德市消防救援支队</w:t>
            </w:r>
          </w:p>
        </w:tc>
      </w:tr>
      <w:tr>
        <w:tblPrEx>
          <w:tblCellMar>
            <w:top w:w="0" w:type="dxa"/>
            <w:left w:w="108" w:type="dxa"/>
            <w:bottom w:w="0" w:type="dxa"/>
            <w:right w:w="108" w:type="dxa"/>
          </w:tblCellMar>
        </w:tblPrEx>
        <w:trPr>
          <w:trHeight w:val="634"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24</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擅自停用消防设施、器材的。</w:t>
            </w:r>
          </w:p>
        </w:tc>
        <w:tc>
          <w:tcPr>
            <w:tcW w:w="507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1.属于一年内初次被发现实施违法行为；</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2.当场改正；</w:t>
            </w:r>
            <w:r>
              <w:rPr>
                <w:rFonts w:hint="eastAsia" w:ascii="仿宋_GB2312" w:hAnsi="宋体" w:eastAsia="仿宋_GB2312" w:cs="仿宋_GB2312"/>
                <w:color w:val="000000"/>
                <w:kern w:val="0"/>
                <w:sz w:val="24"/>
                <w:lang w:bidi="ar"/>
              </w:rPr>
              <w:br w:type="textWrapping"/>
            </w:r>
            <w:r>
              <w:rPr>
                <w:rFonts w:hint="eastAsia" w:ascii="仿宋_GB2312" w:hAnsi="宋体" w:eastAsia="仿宋_GB2312" w:cs="仿宋_GB2312"/>
                <w:color w:val="000000"/>
                <w:kern w:val="0"/>
                <w:sz w:val="24"/>
                <w:lang w:bidi="ar"/>
              </w:rPr>
              <w:t>3.危害后果轻微。</w:t>
            </w:r>
          </w:p>
        </w:tc>
      </w:tr>
      <w:tr>
        <w:tblPrEx>
          <w:tblCellMar>
            <w:top w:w="0" w:type="dxa"/>
            <w:left w:w="108" w:type="dxa"/>
            <w:bottom w:w="0" w:type="dxa"/>
            <w:right w:w="108" w:type="dxa"/>
          </w:tblCellMar>
        </w:tblPrEx>
        <w:trPr>
          <w:trHeight w:val="642"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25</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占用</w:t>
            </w:r>
            <w:r>
              <w:rPr>
                <w:rFonts w:hint="eastAsia" w:ascii="仿宋_GB2312" w:hAnsi="宋体" w:eastAsia="仿宋_GB2312" w:cs="仿宋_GB2312"/>
                <w:color w:val="000000"/>
                <w:spacing w:val="-17"/>
                <w:w w:val="90"/>
                <w:kern w:val="0"/>
                <w:sz w:val="24"/>
                <w:lang w:bidi="ar"/>
              </w:rPr>
              <w:t>、</w:t>
            </w:r>
            <w:r>
              <w:rPr>
                <w:rFonts w:hint="eastAsia" w:ascii="仿宋_GB2312" w:hAnsi="宋体" w:eastAsia="仿宋_GB2312" w:cs="仿宋_GB2312"/>
                <w:color w:val="000000"/>
                <w:kern w:val="0"/>
                <w:sz w:val="24"/>
                <w:lang w:bidi="ar"/>
              </w:rPr>
              <w:t>堵塞疏散通道</w:t>
            </w:r>
            <w:r>
              <w:rPr>
                <w:rFonts w:hint="eastAsia" w:ascii="仿宋_GB2312" w:hAnsi="宋体" w:eastAsia="仿宋_GB2312" w:cs="仿宋_GB2312"/>
                <w:color w:val="000000"/>
                <w:spacing w:val="-17"/>
                <w:w w:val="90"/>
                <w:kern w:val="0"/>
                <w:sz w:val="24"/>
                <w:lang w:bidi="ar"/>
              </w:rPr>
              <w:t>、</w:t>
            </w:r>
            <w:r>
              <w:rPr>
                <w:rFonts w:hint="eastAsia" w:ascii="仿宋_GB2312" w:hAnsi="宋体" w:eastAsia="仿宋_GB2312" w:cs="仿宋_GB2312"/>
                <w:color w:val="000000"/>
                <w:kern w:val="0"/>
                <w:sz w:val="24"/>
                <w:lang w:bidi="ar"/>
              </w:rPr>
              <w:t>安全出口或者有其他妨碍安全疏散行为的。</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604"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26</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埋压、圈占、遮挡消火栓或者占用防火间距的。</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60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27</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占用、堵塞、封闭消防车通道，妨碍消防车通行的。</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603"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28</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人员密集场所在门窗上设置影响逃生和灭火救援的障碍物的。</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55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lang w:bidi="ar"/>
              </w:rPr>
              <w:t>序号</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事项名称</w:t>
            </w:r>
          </w:p>
        </w:tc>
        <w:tc>
          <w:tcPr>
            <w:tcW w:w="507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适用条件</w:t>
            </w:r>
          </w:p>
        </w:tc>
      </w:tr>
      <w:tr>
        <w:tblPrEx>
          <w:tblCellMar>
            <w:top w:w="0" w:type="dxa"/>
            <w:left w:w="108" w:type="dxa"/>
            <w:bottom w:w="0" w:type="dxa"/>
            <w:right w:w="108" w:type="dxa"/>
          </w:tblCellMar>
        </w:tblPrEx>
        <w:trPr>
          <w:trHeight w:val="816"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29</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消防技术服务机构未在经其维修、保养的消防设施所在建筑的醒目位置公示消防技术服务信息的。</w:t>
            </w:r>
          </w:p>
        </w:tc>
        <w:tc>
          <w:tcPr>
            <w:tcW w:w="507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r>
              <w:rPr>
                <w:rFonts w:hint="eastAsia" w:ascii="仿宋_GB2312" w:hAnsi="宋体" w:eastAsia="仿宋_GB2312" w:cs="仿宋_GB2312"/>
                <w:color w:val="000000"/>
                <w:sz w:val="24"/>
              </w:rPr>
              <w:t>1.属于一年内在我省范围内初次被发现实施违法行为；</w:t>
            </w:r>
          </w:p>
          <w:p>
            <w:pPr>
              <w:widowControl/>
              <w:spacing w:line="400" w:lineRule="exact"/>
              <w:jc w:val="left"/>
              <w:rPr>
                <w:rFonts w:hint="eastAsia" w:ascii="仿宋_GB2312" w:hAnsi="宋体" w:eastAsia="仿宋_GB2312" w:cs="仿宋_GB2312"/>
                <w:color w:val="000000"/>
                <w:sz w:val="24"/>
              </w:rPr>
            </w:pPr>
            <w:r>
              <w:rPr>
                <w:rFonts w:hint="eastAsia" w:ascii="仿宋_GB2312" w:hAnsi="宋体" w:eastAsia="仿宋_GB2312" w:cs="仿宋_GB2312"/>
                <w:color w:val="000000"/>
                <w:sz w:val="24"/>
              </w:rPr>
              <w:t>2.当场改正；</w:t>
            </w:r>
          </w:p>
          <w:p>
            <w:pPr>
              <w:widowControl/>
              <w:spacing w:line="400" w:lineRule="exact"/>
              <w:jc w:val="left"/>
              <w:rPr>
                <w:rFonts w:hint="eastAsia" w:ascii="仿宋_GB2312" w:hAnsi="宋体" w:eastAsia="仿宋_GB2312" w:cs="仿宋_GB2312"/>
                <w:color w:val="000000"/>
                <w:sz w:val="24"/>
              </w:rPr>
            </w:pPr>
            <w:r>
              <w:rPr>
                <w:rFonts w:hint="eastAsia" w:ascii="仿宋_GB2312" w:hAnsi="宋体" w:eastAsia="仿宋_GB2312" w:cs="仿宋_GB2312"/>
                <w:color w:val="000000"/>
                <w:sz w:val="24"/>
              </w:rPr>
              <w:t>3.危害后果轻微。</w:t>
            </w:r>
          </w:p>
        </w:tc>
      </w:tr>
      <w:tr>
        <w:tblPrEx>
          <w:tblCellMar>
            <w:top w:w="0" w:type="dxa"/>
            <w:left w:w="108" w:type="dxa"/>
            <w:bottom w:w="0" w:type="dxa"/>
            <w:right w:w="108" w:type="dxa"/>
          </w:tblCellMar>
        </w:tblPrEx>
        <w:trPr>
          <w:trHeight w:val="894"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30</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出具的书面结论文件未经技术负责人、项目负责人签名、盖章，或者未加盖消防技术服务机构印章的。</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820"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31</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消防技术服务机构未公示营业执照、工作程序、收费标准、从业守则、注册消防工程师注册证书、投诉电话等事项的。</w:t>
            </w:r>
          </w:p>
        </w:tc>
        <w:tc>
          <w:tcPr>
            <w:tcW w:w="507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538" w:hRule="atLeast"/>
          <w:tblHeader/>
        </w:trPr>
        <w:tc>
          <w:tcPr>
            <w:tcW w:w="13859" w:type="dxa"/>
            <w:gridSpan w:val="3"/>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left"/>
              <w:textAlignment w:val="center"/>
              <w:rPr>
                <w:rFonts w:hint="eastAsia" w:ascii="楷体_GB2312" w:hAnsi="宋体" w:eastAsia="楷体_GB2312" w:cs="楷体_GB2312"/>
                <w:bCs/>
                <w:color w:val="000000"/>
                <w:kern w:val="0"/>
                <w:sz w:val="26"/>
                <w:szCs w:val="26"/>
                <w:lang w:bidi="ar"/>
              </w:rPr>
            </w:pPr>
            <w:r>
              <w:rPr>
                <w:rFonts w:hint="eastAsia" w:ascii="楷体_GB2312" w:hAnsi="宋体" w:eastAsia="楷体_GB2312" w:cs="楷体_GB2312"/>
                <w:bCs/>
                <w:color w:val="000000"/>
                <w:kern w:val="0"/>
                <w:sz w:val="26"/>
                <w:szCs w:val="26"/>
                <w:lang w:bidi="ar"/>
              </w:rPr>
              <w:t>六、国家税务总局宁德市税务局</w:t>
            </w:r>
          </w:p>
        </w:tc>
      </w:tr>
      <w:tr>
        <w:tblPrEx>
          <w:tblCellMar>
            <w:top w:w="0" w:type="dxa"/>
            <w:left w:w="108" w:type="dxa"/>
            <w:bottom w:w="0" w:type="dxa"/>
            <w:right w:w="108" w:type="dxa"/>
          </w:tblCellMar>
        </w:tblPrEx>
        <w:trPr>
          <w:trHeight w:val="79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32</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纳税人未按照税收征收管理法及实施细则等有关规定将其全部银行账号向税务机关报送。</w:t>
            </w:r>
          </w:p>
        </w:tc>
        <w:tc>
          <w:tcPr>
            <w:tcW w:w="5076"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lef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对于首次发生下列清单中所列事项且危害后果轻微，在税务机关发现前主动改正或者在税务机关责令限期改正的期限内改正的，不予行政处罚。</w:t>
            </w:r>
          </w:p>
        </w:tc>
      </w:tr>
      <w:tr>
        <w:tblPrEx>
          <w:tblCellMar>
            <w:top w:w="0" w:type="dxa"/>
            <w:left w:w="108" w:type="dxa"/>
            <w:bottom w:w="0" w:type="dxa"/>
            <w:right w:w="108" w:type="dxa"/>
          </w:tblCellMar>
        </w:tblPrEx>
        <w:trPr>
          <w:trHeight w:val="826"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33</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纳税人未按照税收征收管理法及实施细则等有关规定设置、保管账簿或者保管记账凭证和有关资料。</w:t>
            </w:r>
          </w:p>
        </w:tc>
        <w:tc>
          <w:tcPr>
            <w:tcW w:w="5076"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68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34</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纳税人未按照税收征收管理法及实施细则等有关规定的期限办理纳税申报和报送纳税资料。</w:t>
            </w:r>
          </w:p>
        </w:tc>
        <w:tc>
          <w:tcPr>
            <w:tcW w:w="5076"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1150"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35</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纳税人使用税控装置开具发票，未按照税收征收管理法及实施细则、发票管理办法等有关规定的期限向主管税务机关报送开具发票的数据且没有违法所得。</w:t>
            </w:r>
          </w:p>
        </w:tc>
        <w:tc>
          <w:tcPr>
            <w:tcW w:w="5076"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863"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36</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纳税人未按照税收征收管理法及实施细则、发票管理办法等有关规定取得发票，以其他凭证代替发票使用且没有违法所得。</w:t>
            </w:r>
          </w:p>
        </w:tc>
        <w:tc>
          <w:tcPr>
            <w:tcW w:w="5076"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68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37</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纳税人未按照税收征收管理法及实施细则、发票管理办法等有关规定缴销发票且没有违法所得。</w:t>
            </w:r>
          </w:p>
        </w:tc>
        <w:tc>
          <w:tcPr>
            <w:tcW w:w="5076"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p>
        </w:tc>
      </w:tr>
      <w:tr>
        <w:tblPrEx>
          <w:tblCellMar>
            <w:top w:w="0" w:type="dxa"/>
            <w:left w:w="108" w:type="dxa"/>
            <w:bottom w:w="0" w:type="dxa"/>
            <w:right w:w="108" w:type="dxa"/>
          </w:tblCellMar>
        </w:tblPrEx>
        <w:trPr>
          <w:trHeight w:val="52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ascii="黑体" w:hAnsi="宋体" w:eastAsia="黑体" w:cs="黑体"/>
                <w:color w:val="000000"/>
                <w:sz w:val="28"/>
                <w:szCs w:val="28"/>
              </w:rPr>
            </w:pPr>
            <w:r>
              <w:rPr>
                <w:rFonts w:hint="eastAsia" w:ascii="黑体" w:hAnsi="宋体" w:eastAsia="黑体" w:cs="黑体"/>
                <w:color w:val="000000"/>
                <w:kern w:val="0"/>
                <w:sz w:val="28"/>
                <w:szCs w:val="28"/>
                <w:lang w:bidi="ar"/>
              </w:rPr>
              <w:t>序号</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事项名称</w:t>
            </w:r>
          </w:p>
        </w:tc>
        <w:tc>
          <w:tcPr>
            <w:tcW w:w="507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黑体" w:hAnsi="宋体" w:eastAsia="黑体" w:cs="黑体"/>
                <w:color w:val="000000"/>
                <w:sz w:val="28"/>
                <w:szCs w:val="28"/>
              </w:rPr>
            </w:pPr>
            <w:r>
              <w:rPr>
                <w:rFonts w:hint="eastAsia" w:ascii="黑体" w:hAnsi="宋体" w:eastAsia="黑体" w:cs="黑体"/>
                <w:color w:val="000000"/>
                <w:kern w:val="0"/>
                <w:sz w:val="28"/>
                <w:szCs w:val="28"/>
                <w:lang w:bidi="ar"/>
              </w:rPr>
              <w:t>适用条件</w:t>
            </w:r>
          </w:p>
        </w:tc>
      </w:tr>
      <w:tr>
        <w:tblPrEx>
          <w:tblCellMar>
            <w:top w:w="0" w:type="dxa"/>
            <w:left w:w="108" w:type="dxa"/>
            <w:bottom w:w="0" w:type="dxa"/>
            <w:right w:w="108" w:type="dxa"/>
          </w:tblCellMar>
        </w:tblPrEx>
        <w:trPr>
          <w:trHeight w:val="1263"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38</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扣缴义务人未按照税收征收管理法及实施细则等有关规定设置、保管代扣代缴、代收代缴税款账簿或者保管代扣代缴、代收代缴税款记账凭证及有关资料。</w:t>
            </w:r>
          </w:p>
        </w:tc>
        <w:tc>
          <w:tcPr>
            <w:tcW w:w="5076" w:type="dxa"/>
            <w:vMerge w:val="restart"/>
            <w:tcBorders>
              <w:top w:val="single" w:color="000000" w:sz="4" w:space="0"/>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对于首次发生下列清单中所列事项且危害后果轻微，在税务机关发现前主动改正或者在税务机关责令限期改正的期限内改正的，不予行政处罚。</w:t>
            </w:r>
          </w:p>
        </w:tc>
      </w:tr>
      <w:tr>
        <w:tblPrEx>
          <w:tblCellMar>
            <w:top w:w="0" w:type="dxa"/>
            <w:left w:w="108" w:type="dxa"/>
            <w:bottom w:w="0" w:type="dxa"/>
            <w:right w:w="108" w:type="dxa"/>
          </w:tblCellMar>
        </w:tblPrEx>
        <w:trPr>
          <w:trHeight w:val="913"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39</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扣缴义务人未按照税收征收管理法及实施细则等有关规定的期限报送代扣代缴、代收代缴税款有关资料。</w:t>
            </w:r>
          </w:p>
        </w:tc>
        <w:tc>
          <w:tcPr>
            <w:tcW w:w="5076"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8"/>
                <w:szCs w:val="28"/>
              </w:rPr>
            </w:pPr>
          </w:p>
        </w:tc>
      </w:tr>
      <w:tr>
        <w:tblPrEx>
          <w:tblCellMar>
            <w:top w:w="0" w:type="dxa"/>
            <w:left w:w="108" w:type="dxa"/>
            <w:bottom w:w="0" w:type="dxa"/>
            <w:right w:w="108" w:type="dxa"/>
          </w:tblCellMar>
        </w:tblPrEx>
        <w:trPr>
          <w:trHeight w:val="658"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40</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扣缴义务人未按照《税收票证管理办法》的规定开具税收票证。</w:t>
            </w:r>
          </w:p>
        </w:tc>
        <w:tc>
          <w:tcPr>
            <w:tcW w:w="5076"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8"/>
                <w:szCs w:val="28"/>
              </w:rPr>
            </w:pPr>
          </w:p>
        </w:tc>
      </w:tr>
      <w:tr>
        <w:tblPrEx>
          <w:tblCellMar>
            <w:top w:w="0" w:type="dxa"/>
            <w:left w:w="108" w:type="dxa"/>
            <w:bottom w:w="0" w:type="dxa"/>
            <w:right w:w="108" w:type="dxa"/>
          </w:tblCellMar>
        </w:tblPrEx>
        <w:trPr>
          <w:trHeight w:val="131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41</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境内机构或个人向非居民发包工程作业或劳务项目，未按照《非居民承包工程作业和提供劳务税收管理暂行办法》的规定向主管税务机关报告有关事项。</w:t>
            </w:r>
          </w:p>
        </w:tc>
        <w:tc>
          <w:tcPr>
            <w:tcW w:w="5076"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8"/>
                <w:szCs w:val="28"/>
              </w:rPr>
            </w:pPr>
          </w:p>
        </w:tc>
      </w:tr>
      <w:tr>
        <w:tblPrEx>
          <w:tblCellMar>
            <w:top w:w="0" w:type="dxa"/>
            <w:left w:w="108" w:type="dxa"/>
            <w:bottom w:w="0" w:type="dxa"/>
            <w:right w:w="108" w:type="dxa"/>
          </w:tblCellMar>
        </w:tblPrEx>
        <w:trPr>
          <w:trHeight w:val="1345"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42</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纳税人使用非税控电子器具开具发票，未按照税收征收管理法及实施细则、发票管理办法等有关规定将非税控电子器具使用的软件程序说明资料报主管税务机关备案且没有违法所得。</w:t>
            </w:r>
          </w:p>
        </w:tc>
        <w:tc>
          <w:tcPr>
            <w:tcW w:w="5076"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8"/>
                <w:szCs w:val="28"/>
              </w:rPr>
            </w:pPr>
          </w:p>
        </w:tc>
      </w:tr>
      <w:tr>
        <w:tblPrEx>
          <w:tblCellMar>
            <w:top w:w="0" w:type="dxa"/>
            <w:left w:w="108" w:type="dxa"/>
            <w:bottom w:w="0" w:type="dxa"/>
            <w:right w:w="108" w:type="dxa"/>
          </w:tblCellMar>
        </w:tblPrEx>
        <w:trPr>
          <w:trHeight w:val="907"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43</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纳税人未按照税收征收管理法及实施细则、税务登记管理办法等有关规定办理税务登记证件验证或者换证手续。</w:t>
            </w:r>
          </w:p>
        </w:tc>
        <w:tc>
          <w:tcPr>
            <w:tcW w:w="5076"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8"/>
                <w:szCs w:val="28"/>
              </w:rPr>
            </w:pPr>
          </w:p>
        </w:tc>
      </w:tr>
      <w:tr>
        <w:tblPrEx>
          <w:tblCellMar>
            <w:top w:w="0" w:type="dxa"/>
            <w:left w:w="108" w:type="dxa"/>
            <w:bottom w:w="0" w:type="dxa"/>
            <w:right w:w="108" w:type="dxa"/>
          </w:tblCellMar>
        </w:tblPrEx>
        <w:trPr>
          <w:trHeight w:val="883"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44</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纳税人未按照税收征收管理法及实施细则、发票管理办法等有关规定加盖发票专用章且没有违法所得。</w:t>
            </w:r>
          </w:p>
        </w:tc>
        <w:tc>
          <w:tcPr>
            <w:tcW w:w="5076" w:type="dxa"/>
            <w:vMerge w:val="continue"/>
            <w:tcBorders>
              <w:left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8"/>
                <w:szCs w:val="28"/>
              </w:rPr>
            </w:pPr>
          </w:p>
        </w:tc>
      </w:tr>
      <w:tr>
        <w:tblPrEx>
          <w:tblCellMar>
            <w:top w:w="0" w:type="dxa"/>
            <w:left w:w="108" w:type="dxa"/>
            <w:bottom w:w="0" w:type="dxa"/>
            <w:right w:w="108" w:type="dxa"/>
          </w:tblCellMar>
        </w:tblPrEx>
        <w:trPr>
          <w:trHeight w:val="1031" w:hRule="atLeast"/>
          <w:tblHeader/>
        </w:trPr>
        <w:tc>
          <w:tcPr>
            <w:tcW w:w="92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45</w:t>
            </w:r>
          </w:p>
        </w:tc>
        <w:tc>
          <w:tcPr>
            <w:tcW w:w="785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textAlignment w:val="center"/>
              <w:rPr>
                <w:rFonts w:hint="eastAsia" w:ascii="仿宋_GB2312" w:hAnsi="宋体" w:eastAsia="仿宋_GB2312" w:cs="仿宋_GB2312"/>
                <w:color w:val="000000"/>
                <w:sz w:val="24"/>
              </w:rPr>
            </w:pPr>
            <w:r>
              <w:rPr>
                <w:rFonts w:hint="eastAsia" w:ascii="仿宋_GB2312" w:hAnsi="宋体" w:eastAsia="仿宋_GB2312" w:cs="仿宋_GB2312"/>
                <w:color w:val="000000"/>
                <w:kern w:val="0"/>
                <w:sz w:val="24"/>
                <w:lang w:bidi="ar"/>
              </w:rPr>
              <w:t>纳税人未按照税收征收管理法及实施细则等有关规定将财务、会计制度或者财务、会计处理办法和会计核算软件报送税务机关备查。</w:t>
            </w:r>
          </w:p>
        </w:tc>
        <w:tc>
          <w:tcPr>
            <w:tcW w:w="5076" w:type="dxa"/>
            <w:vMerge w:val="continue"/>
            <w:tcBorders>
              <w:left w:val="single" w:color="000000" w:sz="4" w:space="0"/>
              <w:bottom w:val="single" w:color="000000" w:sz="4" w:space="0"/>
              <w:right w:val="single" w:color="000000" w:sz="4" w:space="0"/>
            </w:tcBorders>
            <w:noWrap w:val="0"/>
            <w:vAlign w:val="center"/>
          </w:tcPr>
          <w:p>
            <w:pPr>
              <w:widowControl/>
              <w:spacing w:line="400" w:lineRule="exact"/>
              <w:jc w:val="left"/>
              <w:rPr>
                <w:rFonts w:hint="eastAsia" w:ascii="仿宋_GB2312" w:hAnsi="宋体" w:eastAsia="仿宋_GB2312" w:cs="仿宋_GB2312"/>
                <w:color w:val="000000"/>
                <w:sz w:val="28"/>
                <w:szCs w:val="28"/>
              </w:rPr>
            </w:pPr>
          </w:p>
        </w:tc>
      </w:tr>
    </w:tbl>
    <w:p>
      <w:pPr>
        <w:spacing w:line="560" w:lineRule="exact"/>
        <w:jc w:val="left"/>
        <w:rPr>
          <w:rFonts w:hint="eastAsia" w:ascii="黑体" w:hAnsi="黑体" w:eastAsia="黑体" w:cs="黑体"/>
          <w:color w:val="000000"/>
          <w:kern w:val="0"/>
          <w:sz w:val="32"/>
          <w:szCs w:val="32"/>
          <w:lang w:bidi="ar"/>
        </w:rPr>
      </w:pPr>
      <w:r>
        <w:rPr>
          <w:rFonts w:hint="eastAsia" w:ascii="方正小标宋简体" w:hAnsi="方正小标宋简体" w:eastAsia="方正小标宋简体" w:cs="方正小标宋简体"/>
          <w:color w:val="000000"/>
          <w:kern w:val="0"/>
          <w:sz w:val="44"/>
          <w:szCs w:val="44"/>
          <w:lang w:bidi="ar"/>
        </w:rPr>
        <w:br w:type="page"/>
      </w:r>
      <w:r>
        <w:rPr>
          <w:rFonts w:hint="eastAsia" w:ascii="黑体" w:hAnsi="黑体" w:eastAsia="黑体" w:cs="黑体"/>
          <w:color w:val="000000"/>
          <w:kern w:val="0"/>
          <w:sz w:val="32"/>
          <w:szCs w:val="32"/>
          <w:lang w:bidi="ar"/>
        </w:rPr>
        <w:t>附件3</w:t>
      </w:r>
    </w:p>
    <w:p>
      <w:pPr>
        <w:spacing w:after="157" w:afterLines="50" w:line="560" w:lineRule="exact"/>
        <w:jc w:val="center"/>
        <w:rPr>
          <w:rFonts w:ascii="仿宋_GB2312" w:hAnsi="仿宋_GB2312" w:eastAsia="仿宋_GB2312" w:cs="仿宋_GB2312"/>
          <w:sz w:val="21"/>
          <w:szCs w:val="21"/>
        </w:rPr>
      </w:pPr>
      <w:r>
        <w:rPr>
          <w:rFonts w:hint="eastAsia" w:ascii="方正小标宋简体" w:hAnsi="仿宋" w:eastAsia="方正小标宋简体" w:cs="方正小标宋简体"/>
          <w:color w:val="000000"/>
          <w:kern w:val="0"/>
          <w:sz w:val="44"/>
          <w:szCs w:val="44"/>
          <w:lang w:bidi="ar"/>
        </w:rPr>
        <w:t>2024</w:t>
      </w:r>
      <w:r>
        <w:rPr>
          <w:rFonts w:hint="eastAsia" w:ascii="方正小标宋简体" w:hAnsi="方正小标宋简体" w:eastAsia="方正小标宋简体" w:cs="方正小标宋简体"/>
          <w:color w:val="000000"/>
          <w:kern w:val="0"/>
          <w:sz w:val="44"/>
          <w:szCs w:val="44"/>
          <w:lang w:bidi="ar"/>
        </w:rPr>
        <w:t>年宁德市惠企政策“免申即享”项目清单</w:t>
      </w:r>
    </w:p>
    <w:tbl>
      <w:tblPr>
        <w:tblStyle w:val="6"/>
        <w:tblW w:w="14078" w:type="dxa"/>
        <w:tblInd w:w="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39"/>
        <w:gridCol w:w="1603"/>
        <w:gridCol w:w="4177"/>
        <w:gridCol w:w="3559"/>
        <w:gridCol w:w="1235"/>
        <w:gridCol w:w="27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blHeader/>
        </w:trPr>
        <w:tc>
          <w:tcPr>
            <w:tcW w:w="739" w:type="dxa"/>
            <w:noWrap/>
            <w:vAlign w:val="center"/>
          </w:tcPr>
          <w:p>
            <w:pPr>
              <w:widowControl/>
              <w:jc w:val="center"/>
              <w:textAlignment w:val="center"/>
              <w:rPr>
                <w:rFonts w:ascii="黑体" w:hAnsi="宋体" w:eastAsia="黑体" w:cs="黑体"/>
                <w:color w:val="000000"/>
                <w:sz w:val="24"/>
              </w:rPr>
            </w:pPr>
            <w:r>
              <w:rPr>
                <w:rFonts w:hint="eastAsia" w:ascii="黑体" w:hAnsi="宋体" w:eastAsia="黑体" w:cs="黑体"/>
                <w:color w:val="000000"/>
                <w:kern w:val="0"/>
                <w:sz w:val="24"/>
                <w:lang w:bidi="ar"/>
              </w:rPr>
              <w:t>序号</w:t>
            </w:r>
          </w:p>
        </w:tc>
        <w:tc>
          <w:tcPr>
            <w:tcW w:w="1603" w:type="dxa"/>
            <w:noWrap w:val="0"/>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lang w:bidi="ar"/>
              </w:rPr>
              <w:t>项目名称</w:t>
            </w:r>
          </w:p>
        </w:tc>
        <w:tc>
          <w:tcPr>
            <w:tcW w:w="4177" w:type="dxa"/>
            <w:noWrap w:val="0"/>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lang w:bidi="ar"/>
              </w:rPr>
              <w:t>政策依据</w:t>
            </w:r>
          </w:p>
        </w:tc>
        <w:tc>
          <w:tcPr>
            <w:tcW w:w="3559" w:type="dxa"/>
            <w:noWrap w:val="0"/>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lang w:bidi="ar"/>
              </w:rPr>
              <w:t>补助标准</w:t>
            </w:r>
          </w:p>
        </w:tc>
        <w:tc>
          <w:tcPr>
            <w:tcW w:w="1235" w:type="dxa"/>
            <w:noWrap/>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lang w:bidi="ar"/>
              </w:rPr>
              <w:t>兑现部门</w:t>
            </w:r>
          </w:p>
        </w:tc>
        <w:tc>
          <w:tcPr>
            <w:tcW w:w="2765" w:type="dxa"/>
            <w:noWrap/>
            <w:vAlign w:val="center"/>
          </w:tcPr>
          <w:p>
            <w:pPr>
              <w:widowControl/>
              <w:jc w:val="center"/>
              <w:textAlignment w:val="center"/>
              <w:rPr>
                <w:rFonts w:hint="eastAsia" w:ascii="黑体" w:hAnsi="宋体" w:eastAsia="黑体" w:cs="黑体"/>
                <w:color w:val="000000"/>
                <w:sz w:val="24"/>
              </w:rPr>
            </w:pPr>
            <w:r>
              <w:rPr>
                <w:rFonts w:hint="eastAsia" w:ascii="黑体" w:hAnsi="宋体" w:eastAsia="黑体" w:cs="黑体"/>
                <w:color w:val="000000"/>
                <w:kern w:val="0"/>
                <w:sz w:val="24"/>
                <w:lang w:bidi="ar"/>
              </w:rPr>
              <w:t>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1"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企业梯度培育奖励</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《中共宁德市委办公室 宁德市人民政府办公室关于印发〈宁德市贯彻落实福建省推动民营经济创新发展若干措施的实施方案〉的通知》（宁委办发〔2023〕3号）                                                                        《宁德市人民政府办公室关于印发巩固拓展经济向好势头的一揽子政策措施的通知》（宁政办规〔2023〕2号）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对2023年新投产纳统</w:t>
            </w:r>
            <w:r>
              <w:rPr>
                <w:rFonts w:hint="eastAsia" w:ascii="仿宋_GB2312" w:hAnsi="仿宋_GB2312" w:cs="仿宋_GB2312"/>
                <w:color w:val="000000"/>
                <w:kern w:val="0"/>
                <w:sz w:val="22"/>
                <w:szCs w:val="22"/>
                <w:lang w:eastAsia="zh-CN" w:bidi="ar"/>
              </w:rPr>
              <w:t>的规上工业</w:t>
            </w:r>
            <w:r>
              <w:rPr>
                <w:rFonts w:hint="eastAsia" w:ascii="仿宋_GB2312" w:hAnsi="仿宋_GB2312" w:eastAsia="仿宋_GB2312" w:cs="仿宋_GB2312"/>
                <w:color w:val="000000"/>
                <w:kern w:val="0"/>
                <w:sz w:val="22"/>
                <w:szCs w:val="22"/>
                <w:lang w:bidi="ar"/>
              </w:rPr>
              <w:t>企业、规下转规上</w:t>
            </w:r>
            <w:r>
              <w:rPr>
                <w:rFonts w:hint="eastAsia" w:ascii="仿宋_GB2312" w:hAnsi="仿宋_GB2312" w:cs="仿宋_GB2312"/>
                <w:color w:val="000000"/>
                <w:kern w:val="0"/>
                <w:sz w:val="22"/>
                <w:szCs w:val="22"/>
                <w:lang w:eastAsia="zh-CN" w:bidi="ar"/>
              </w:rPr>
              <w:t>工业</w:t>
            </w:r>
            <w:r>
              <w:rPr>
                <w:rFonts w:hint="eastAsia" w:ascii="仿宋_GB2312" w:hAnsi="仿宋_GB2312" w:eastAsia="仿宋_GB2312" w:cs="仿宋_GB2312"/>
                <w:color w:val="000000"/>
                <w:kern w:val="0"/>
                <w:sz w:val="22"/>
                <w:szCs w:val="22"/>
                <w:lang w:bidi="ar"/>
              </w:rPr>
              <w:t>企业，市级财政每家给予一次性5万元奖励。</w:t>
            </w:r>
          </w:p>
        </w:tc>
        <w:tc>
          <w:tcPr>
            <w:tcW w:w="123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宁德市工信局</w:t>
            </w:r>
          </w:p>
        </w:tc>
        <w:tc>
          <w:tcPr>
            <w:tcW w:w="2765" w:type="dxa"/>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经济运行科：2822728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7"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制造业单项冠军企业（产品）认定奖励</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《福建省工业和信息化厅关于印发〈福建省制造业单项冠军企业（产品）管理实施细则〉的通知》（闽工信规〔2023〕2号）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对新认定的国家级制造业单项冠军给予一次性100万元。</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产业协调科：2363698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77"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3</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新增工业战略性新兴产业企业入库奖励</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《福建省工业和信息化厅关于应对疫情影响促进工业企业纾困恢复加快稳定增长若干措施的通知》（闽工信规〔2022〕3号）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新增纳入2022年省工业战略性新兴产业年报库且工业战略性新兴产品产值2000万元及以上或工业战略性新兴产品产值占企业工业总产值50％及以上的企业给予5万元奖励，与2022年度规模以上企业奖励政策不重叠享受。</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1"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4</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省级工业互联网平台、标杆企业、工业APP优秀解决方案、标识解析奖励</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《福建省工业和信息化厅关于印发省级新一代信息技术与制造业融合发展项目管理办法的通知》（闽工信规〔2023〕1号）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对省级工业互联网示范平台、新一代信息技术与制造业融合发展新模式新业态标杆企业、工业APP优秀解决方案、标识解析分别给予最高200万元、最高50万元、最高15万元、最高100万元奖励。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电子信息和软件服务业科：2860057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9" w:hRule="atLeast"/>
        </w:trPr>
        <w:tc>
          <w:tcPr>
            <w:tcW w:w="739" w:type="dxa"/>
            <w:vMerge w:val="restart"/>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5</w:t>
            </w:r>
          </w:p>
        </w:tc>
        <w:tc>
          <w:tcPr>
            <w:tcW w:w="1603" w:type="dxa"/>
            <w:vMerge w:val="restart"/>
            <w:noWrap w:val="0"/>
            <w:vAlign w:val="center"/>
          </w:tcPr>
          <w:p>
            <w:pPr>
              <w:widowControl/>
              <w:spacing w:line="280" w:lineRule="exact"/>
              <w:jc w:val="lef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专精特新中小企业认定奖励</w:t>
            </w:r>
          </w:p>
        </w:tc>
        <w:tc>
          <w:tcPr>
            <w:tcW w:w="4177" w:type="dxa"/>
            <w:vMerge w:val="restart"/>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《福建省促进中小企业发展工作领导小组办公室关于福建省加大力度助企纾困激发中小企业发展活力的若干意见》（闽中小企业办〔2022〕1号）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对新认定的国家级专精特新“小巨人”企业给予一次性50万元奖励。</w:t>
            </w:r>
          </w:p>
        </w:tc>
        <w:tc>
          <w:tcPr>
            <w:tcW w:w="123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宁德市工信局</w:t>
            </w:r>
          </w:p>
        </w:tc>
        <w:tc>
          <w:tcPr>
            <w:tcW w:w="276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中小企业科：2863157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9" w:hRule="atLeast"/>
        </w:trPr>
        <w:tc>
          <w:tcPr>
            <w:tcW w:w="739" w:type="dxa"/>
            <w:vMerge w:val="continue"/>
            <w:noWrap/>
            <w:vAlign w:val="center"/>
          </w:tcPr>
          <w:p>
            <w:pPr>
              <w:widowControl/>
              <w:spacing w:line="280" w:lineRule="exact"/>
              <w:jc w:val="center"/>
              <w:rPr>
                <w:rFonts w:hint="eastAsia" w:ascii="仿宋_GB2312" w:hAnsi="仿宋_GB2312" w:eastAsia="仿宋_GB2312" w:cs="仿宋_GB2312"/>
                <w:color w:val="000000"/>
                <w:sz w:val="22"/>
                <w:szCs w:val="22"/>
              </w:rPr>
            </w:pPr>
          </w:p>
        </w:tc>
        <w:tc>
          <w:tcPr>
            <w:tcW w:w="1603" w:type="dxa"/>
            <w:vMerge w:val="continue"/>
            <w:noWrap w:val="0"/>
            <w:vAlign w:val="center"/>
          </w:tcPr>
          <w:p>
            <w:pPr>
              <w:widowControl/>
              <w:spacing w:line="280" w:lineRule="exact"/>
              <w:jc w:val="left"/>
              <w:rPr>
                <w:rFonts w:hint="eastAsia" w:ascii="仿宋_GB2312" w:hAnsi="仿宋_GB2312" w:eastAsia="仿宋_GB2312" w:cs="仿宋_GB2312"/>
                <w:color w:val="000000"/>
                <w:sz w:val="22"/>
                <w:szCs w:val="22"/>
              </w:rPr>
            </w:pPr>
          </w:p>
        </w:tc>
        <w:tc>
          <w:tcPr>
            <w:tcW w:w="4177" w:type="dxa"/>
            <w:vMerge w:val="continue"/>
            <w:noWrap w:val="0"/>
            <w:vAlign w:val="center"/>
          </w:tcPr>
          <w:p>
            <w:pPr>
              <w:widowControl/>
              <w:spacing w:line="280" w:lineRule="exact"/>
              <w:rPr>
                <w:rFonts w:hint="eastAsia" w:ascii="仿宋_GB2312" w:hAnsi="仿宋_GB2312" w:eastAsia="仿宋_GB2312" w:cs="仿宋_GB2312"/>
                <w:color w:val="000000"/>
                <w:sz w:val="22"/>
                <w:szCs w:val="22"/>
              </w:rPr>
            </w:pP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对新认定省级专精特新中小企业给予一次性20万元奖励。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6</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国家智能制造示范工厂奖励</w:t>
            </w:r>
          </w:p>
        </w:tc>
        <w:tc>
          <w:tcPr>
            <w:tcW w:w="4177" w:type="dxa"/>
            <w:vMerge w:val="restart"/>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《福建省工业和信息化厅 福建省财政厅关于印发推进工业数字化转型九条措施的通知》（闽工信规〔2022〕11号）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对入选国家智能制造示范工厂的企业给予最高100万元奖励。</w:t>
            </w:r>
          </w:p>
        </w:tc>
        <w:tc>
          <w:tcPr>
            <w:tcW w:w="1235" w:type="dxa"/>
            <w:vMerge w:val="continue"/>
            <w:noWrap w:val="0"/>
            <w:vAlign w:val="center"/>
          </w:tcPr>
          <w:p>
            <w:pPr>
              <w:widowControl/>
              <w:jc w:val="left"/>
              <w:textAlignment w:val="center"/>
              <w:rPr>
                <w:rFonts w:hint="eastAsia" w:ascii="仿宋_GB2312" w:hAnsi="仿宋_GB2312" w:eastAsia="仿宋_GB2312" w:cs="仿宋_GB2312"/>
                <w:color w:val="000000"/>
                <w:sz w:val="22"/>
                <w:szCs w:val="22"/>
              </w:rPr>
            </w:pPr>
          </w:p>
        </w:tc>
        <w:tc>
          <w:tcPr>
            <w:tcW w:w="276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装备工业科：2078656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3"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7</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国家智能制造优秀场景奖励</w:t>
            </w:r>
          </w:p>
        </w:tc>
        <w:tc>
          <w:tcPr>
            <w:tcW w:w="4177" w:type="dxa"/>
            <w:vMerge w:val="continue"/>
            <w:noWrap w:val="0"/>
            <w:vAlign w:val="center"/>
          </w:tcPr>
          <w:p>
            <w:pPr>
              <w:widowControl/>
              <w:spacing w:line="280" w:lineRule="exact"/>
              <w:rPr>
                <w:rFonts w:hint="eastAsia" w:ascii="仿宋_GB2312" w:hAnsi="仿宋_GB2312" w:eastAsia="仿宋_GB2312" w:cs="仿宋_GB2312"/>
                <w:color w:val="000000"/>
                <w:sz w:val="22"/>
                <w:szCs w:val="22"/>
              </w:rPr>
            </w:pP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对入选国家智能制造优秀场景的企业给予最高50万元奖励。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5" w:hRule="atLeast"/>
        </w:trPr>
        <w:tc>
          <w:tcPr>
            <w:tcW w:w="739" w:type="dxa"/>
            <w:vMerge w:val="restart"/>
            <w:noWrap w:val="0"/>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8</w:t>
            </w:r>
          </w:p>
        </w:tc>
        <w:tc>
          <w:tcPr>
            <w:tcW w:w="1603" w:type="dxa"/>
            <w:vMerge w:val="restart"/>
            <w:noWrap w:val="0"/>
            <w:vAlign w:val="center"/>
          </w:tcPr>
          <w:p>
            <w:pPr>
              <w:widowControl/>
              <w:spacing w:line="280" w:lineRule="exact"/>
              <w:jc w:val="lef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工业设计中心认定奖励</w:t>
            </w:r>
          </w:p>
        </w:tc>
        <w:tc>
          <w:tcPr>
            <w:tcW w:w="4177" w:type="dxa"/>
            <w:vMerge w:val="restart"/>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《工业和信息化部关于印发〈国家级工业设计中心认定管理办法〉的通知》（工信部政法〔2023〕93号）</w:t>
            </w:r>
            <w:r>
              <w:rPr>
                <w:rFonts w:hint="eastAsia" w:ascii="仿宋_GB2312" w:hAnsi="仿宋_GB2312" w:eastAsia="仿宋_GB2312" w:cs="仿宋_GB2312"/>
                <w:color w:val="000000"/>
                <w:kern w:val="0"/>
                <w:sz w:val="22"/>
                <w:szCs w:val="22"/>
                <w:lang w:bidi="ar"/>
              </w:rPr>
              <w:br w:type="textWrapping"/>
            </w:r>
            <w:r>
              <w:rPr>
                <w:rFonts w:hint="eastAsia" w:ascii="仿宋_GB2312" w:hAnsi="仿宋_GB2312" w:eastAsia="仿宋_GB2312" w:cs="仿宋_GB2312"/>
                <w:color w:val="000000"/>
                <w:kern w:val="0"/>
                <w:sz w:val="22"/>
                <w:szCs w:val="22"/>
                <w:lang w:bidi="ar"/>
              </w:rPr>
              <w:t>《福建省省级工业设计中心认定管理办法》（闽经信政法〔2018〕99号）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对新认定的国家（省级基础上补差）工业设计中心给予不超过80万元奖励。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生产服务业科：2822381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739" w:type="dxa"/>
            <w:vMerge w:val="continue"/>
            <w:noWrap w:val="0"/>
            <w:vAlign w:val="center"/>
          </w:tcPr>
          <w:p>
            <w:pPr>
              <w:widowControl/>
              <w:spacing w:line="280" w:lineRule="exact"/>
              <w:jc w:val="center"/>
              <w:rPr>
                <w:rFonts w:hint="eastAsia" w:ascii="仿宋_GB2312" w:hAnsi="仿宋_GB2312" w:eastAsia="仿宋_GB2312" w:cs="仿宋_GB2312"/>
                <w:color w:val="000000"/>
                <w:sz w:val="22"/>
                <w:szCs w:val="22"/>
              </w:rPr>
            </w:pPr>
          </w:p>
        </w:tc>
        <w:tc>
          <w:tcPr>
            <w:tcW w:w="1603" w:type="dxa"/>
            <w:vMerge w:val="continue"/>
            <w:noWrap w:val="0"/>
            <w:vAlign w:val="center"/>
          </w:tcPr>
          <w:p>
            <w:pPr>
              <w:widowControl/>
              <w:spacing w:line="280" w:lineRule="exact"/>
              <w:jc w:val="left"/>
              <w:rPr>
                <w:rFonts w:hint="eastAsia" w:ascii="仿宋_GB2312" w:hAnsi="仿宋_GB2312" w:eastAsia="仿宋_GB2312" w:cs="仿宋_GB2312"/>
                <w:color w:val="000000"/>
                <w:sz w:val="22"/>
                <w:szCs w:val="22"/>
              </w:rPr>
            </w:pPr>
          </w:p>
        </w:tc>
        <w:tc>
          <w:tcPr>
            <w:tcW w:w="4177" w:type="dxa"/>
            <w:vMerge w:val="continue"/>
            <w:noWrap w:val="0"/>
            <w:vAlign w:val="center"/>
          </w:tcPr>
          <w:p>
            <w:pPr>
              <w:widowControl/>
              <w:spacing w:line="280" w:lineRule="exact"/>
              <w:rPr>
                <w:rFonts w:hint="eastAsia" w:ascii="仿宋_GB2312" w:hAnsi="仿宋_GB2312" w:eastAsia="仿宋_GB2312" w:cs="仿宋_GB2312"/>
                <w:color w:val="000000"/>
                <w:sz w:val="22"/>
                <w:szCs w:val="22"/>
              </w:rPr>
            </w:pP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对新认定的省级工业设计中心给予不超过50万元奖励。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1" w:hRule="atLeast"/>
        </w:trPr>
        <w:tc>
          <w:tcPr>
            <w:tcW w:w="739" w:type="dxa"/>
            <w:vMerge w:val="restart"/>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9</w:t>
            </w:r>
          </w:p>
        </w:tc>
        <w:tc>
          <w:tcPr>
            <w:tcW w:w="1603" w:type="dxa"/>
            <w:vMerge w:val="restart"/>
            <w:noWrap w:val="0"/>
            <w:vAlign w:val="center"/>
          </w:tcPr>
          <w:p>
            <w:pPr>
              <w:widowControl/>
              <w:spacing w:line="280" w:lineRule="exact"/>
              <w:jc w:val="lef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示范物流园区认定奖励</w:t>
            </w:r>
          </w:p>
        </w:tc>
        <w:tc>
          <w:tcPr>
            <w:tcW w:w="4177" w:type="dxa"/>
            <w:vMerge w:val="restart"/>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《福建省经济和信息化委员会关于印发福建省建省级示范物流园区实施细则的通知》（闽经信服务〔2017〕144号）</w:t>
            </w:r>
            <w:r>
              <w:rPr>
                <w:rFonts w:hint="eastAsia" w:ascii="仿宋_GB2312" w:hAnsi="仿宋_GB2312" w:eastAsia="仿宋_GB2312" w:cs="仿宋_GB2312"/>
                <w:color w:val="000000"/>
                <w:kern w:val="0"/>
                <w:sz w:val="22"/>
                <w:szCs w:val="22"/>
                <w:lang w:bidi="ar"/>
              </w:rPr>
              <w:br w:type="textWrapping"/>
            </w:r>
            <w:r>
              <w:rPr>
                <w:rFonts w:hint="eastAsia" w:ascii="仿宋_GB2312" w:hAnsi="仿宋_GB2312" w:eastAsia="仿宋_GB2312" w:cs="仿宋_GB2312"/>
                <w:color w:val="000000"/>
                <w:kern w:val="0"/>
                <w:sz w:val="22"/>
                <w:szCs w:val="22"/>
                <w:lang w:bidi="ar"/>
              </w:rPr>
              <w:t>《福建省工业和信息化厅关于组织申报2022年省级示范物流园区的通知》（闽工信函服务〔2022〕169号）　</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对列入国家级（省级基础上补差）示范物流园区项目（企业、平台）给予不超过200万元奖励。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739" w:type="dxa"/>
            <w:vMerge w:val="continue"/>
            <w:noWrap/>
            <w:vAlign w:val="center"/>
          </w:tcPr>
          <w:p>
            <w:pPr>
              <w:widowControl/>
              <w:spacing w:line="280" w:lineRule="exact"/>
              <w:jc w:val="center"/>
              <w:rPr>
                <w:rFonts w:hint="eastAsia" w:ascii="仿宋_GB2312" w:hAnsi="仿宋_GB2312" w:eastAsia="仿宋_GB2312" w:cs="仿宋_GB2312"/>
                <w:color w:val="000000"/>
                <w:sz w:val="22"/>
                <w:szCs w:val="22"/>
              </w:rPr>
            </w:pPr>
          </w:p>
        </w:tc>
        <w:tc>
          <w:tcPr>
            <w:tcW w:w="1603" w:type="dxa"/>
            <w:vMerge w:val="continue"/>
            <w:noWrap w:val="0"/>
            <w:vAlign w:val="center"/>
          </w:tcPr>
          <w:p>
            <w:pPr>
              <w:widowControl/>
              <w:spacing w:line="280" w:lineRule="exact"/>
              <w:jc w:val="left"/>
              <w:rPr>
                <w:rFonts w:hint="eastAsia" w:ascii="仿宋_GB2312" w:hAnsi="仿宋_GB2312" w:eastAsia="仿宋_GB2312" w:cs="仿宋_GB2312"/>
                <w:color w:val="000000"/>
                <w:sz w:val="22"/>
                <w:szCs w:val="22"/>
              </w:rPr>
            </w:pPr>
          </w:p>
        </w:tc>
        <w:tc>
          <w:tcPr>
            <w:tcW w:w="4177" w:type="dxa"/>
            <w:vMerge w:val="continue"/>
            <w:noWrap w:val="0"/>
            <w:vAlign w:val="center"/>
          </w:tcPr>
          <w:p>
            <w:pPr>
              <w:widowControl/>
              <w:spacing w:line="280" w:lineRule="exact"/>
              <w:rPr>
                <w:rFonts w:hint="eastAsia" w:ascii="仿宋_GB2312" w:hAnsi="仿宋_GB2312" w:eastAsia="仿宋_GB2312" w:cs="仿宋_GB2312"/>
                <w:color w:val="000000"/>
                <w:sz w:val="22"/>
                <w:szCs w:val="22"/>
              </w:rPr>
            </w:pP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对列入省级示范物流园区项目（企业、平台）给予不超过100万元奖励。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6" w:hRule="atLeast"/>
        </w:trPr>
        <w:tc>
          <w:tcPr>
            <w:tcW w:w="739" w:type="dxa"/>
            <w:vMerge w:val="restart"/>
            <w:noWrap w:val="0"/>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10</w:t>
            </w:r>
          </w:p>
        </w:tc>
        <w:tc>
          <w:tcPr>
            <w:tcW w:w="1603" w:type="dxa"/>
            <w:vMerge w:val="restart"/>
            <w:noWrap w:val="0"/>
            <w:vAlign w:val="center"/>
          </w:tcPr>
          <w:p>
            <w:pPr>
              <w:widowControl/>
              <w:spacing w:line="280" w:lineRule="exact"/>
              <w:jc w:val="lef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服务型制造示范企业认定奖励</w:t>
            </w:r>
          </w:p>
        </w:tc>
        <w:tc>
          <w:tcPr>
            <w:tcW w:w="4177" w:type="dxa"/>
            <w:vMerge w:val="restart"/>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工信部等十五部门《关于进一步促进服务型制造发展的指导意见》（工信部联政法〔2020〕101号）</w:t>
            </w:r>
            <w:r>
              <w:rPr>
                <w:rFonts w:hint="eastAsia" w:ascii="仿宋_GB2312" w:hAnsi="仿宋_GB2312" w:eastAsia="仿宋_GB2312" w:cs="仿宋_GB2312"/>
                <w:color w:val="000000"/>
                <w:kern w:val="0"/>
                <w:sz w:val="22"/>
                <w:szCs w:val="22"/>
                <w:lang w:bidi="ar"/>
              </w:rPr>
              <w:br w:type="textWrapping"/>
            </w:r>
            <w:r>
              <w:rPr>
                <w:rFonts w:hint="eastAsia" w:ascii="仿宋_GB2312" w:hAnsi="仿宋_GB2312" w:eastAsia="仿宋_GB2312" w:cs="仿宋_GB2312"/>
                <w:color w:val="000000"/>
                <w:kern w:val="0"/>
                <w:sz w:val="22"/>
                <w:szCs w:val="22"/>
                <w:lang w:bidi="ar"/>
              </w:rPr>
              <w:t>福建省工信厅等十五部门《关于进一步促进服务型制造发展的实施意见》（闽工信法规〔2021〕46号）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对列入国家级（省级基础上补差）服务型制造示范项目（企业、平台）给予不超过100万元奖励。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1" w:hRule="atLeast"/>
        </w:trPr>
        <w:tc>
          <w:tcPr>
            <w:tcW w:w="739" w:type="dxa"/>
            <w:vMerge w:val="continue"/>
            <w:noWrap w:val="0"/>
            <w:vAlign w:val="center"/>
          </w:tcPr>
          <w:p>
            <w:pPr>
              <w:widowControl/>
              <w:spacing w:line="280" w:lineRule="exact"/>
              <w:jc w:val="center"/>
              <w:rPr>
                <w:rFonts w:hint="eastAsia" w:ascii="仿宋_GB2312" w:hAnsi="仿宋_GB2312" w:eastAsia="仿宋_GB2312" w:cs="仿宋_GB2312"/>
                <w:color w:val="000000"/>
                <w:sz w:val="22"/>
                <w:szCs w:val="22"/>
              </w:rPr>
            </w:pPr>
          </w:p>
        </w:tc>
        <w:tc>
          <w:tcPr>
            <w:tcW w:w="1603" w:type="dxa"/>
            <w:vMerge w:val="continue"/>
            <w:noWrap w:val="0"/>
            <w:vAlign w:val="center"/>
          </w:tcPr>
          <w:p>
            <w:pPr>
              <w:widowControl/>
              <w:spacing w:line="280" w:lineRule="exact"/>
              <w:jc w:val="left"/>
              <w:rPr>
                <w:rFonts w:hint="eastAsia" w:ascii="仿宋_GB2312" w:hAnsi="仿宋_GB2312" w:eastAsia="仿宋_GB2312" w:cs="仿宋_GB2312"/>
                <w:color w:val="000000"/>
                <w:sz w:val="22"/>
                <w:szCs w:val="22"/>
              </w:rPr>
            </w:pPr>
          </w:p>
        </w:tc>
        <w:tc>
          <w:tcPr>
            <w:tcW w:w="4177" w:type="dxa"/>
            <w:vMerge w:val="continue"/>
            <w:noWrap w:val="0"/>
            <w:vAlign w:val="center"/>
          </w:tcPr>
          <w:p>
            <w:pPr>
              <w:widowControl/>
              <w:spacing w:line="280" w:lineRule="exact"/>
              <w:rPr>
                <w:rFonts w:hint="eastAsia" w:ascii="仿宋_GB2312" w:hAnsi="仿宋_GB2312" w:eastAsia="仿宋_GB2312" w:cs="仿宋_GB2312"/>
                <w:color w:val="000000"/>
                <w:sz w:val="22"/>
                <w:szCs w:val="22"/>
              </w:rPr>
            </w:pP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对列入省级服务型制造示范项目（企业、平台）给予不超过50万元奖励。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21"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11</w:t>
            </w:r>
          </w:p>
        </w:tc>
        <w:tc>
          <w:tcPr>
            <w:tcW w:w="1603" w:type="dxa"/>
            <w:noWrap w:val="0"/>
            <w:vAlign w:val="center"/>
          </w:tcPr>
          <w:p>
            <w:pPr>
              <w:widowControl/>
              <w:spacing w:line="280" w:lineRule="exact"/>
              <w:jc w:val="lef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工业遗产项目认定奖励</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福建省工信厅等十五部门《关于进一步促进服务型制造发展的实施意见》（闽工信法规〔2021〕46号）</w:t>
            </w:r>
            <w:r>
              <w:rPr>
                <w:rFonts w:hint="eastAsia" w:ascii="仿宋_GB2312" w:hAnsi="仿宋_GB2312" w:eastAsia="仿宋_GB2312" w:cs="仿宋_GB2312"/>
                <w:color w:val="000000"/>
                <w:kern w:val="0"/>
                <w:sz w:val="22"/>
                <w:szCs w:val="22"/>
                <w:lang w:bidi="ar"/>
              </w:rPr>
              <w:br w:type="textWrapping"/>
            </w:r>
            <w:r>
              <w:rPr>
                <w:rFonts w:hint="eastAsia" w:ascii="仿宋_GB2312" w:hAnsi="仿宋_GB2312" w:eastAsia="仿宋_GB2312" w:cs="仿宋_GB2312"/>
                <w:color w:val="000000"/>
                <w:kern w:val="0"/>
                <w:sz w:val="22"/>
                <w:szCs w:val="22"/>
                <w:lang w:bidi="ar"/>
              </w:rPr>
              <w:t>《福建省工业和信息化厅 福建省文化和旅游厅 福建省财政厅关于印发〈福建省工业旅游发展三年行动计划（2021-2023）〉的通知》（闽工信法规〔2021〕41号）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对新认定的国家工业遗产项目（省级基础上补差）给予不超过80万元奖励。</w:t>
            </w:r>
          </w:p>
        </w:tc>
        <w:tc>
          <w:tcPr>
            <w:tcW w:w="1235" w:type="dxa"/>
            <w:vMerge w:val="restart"/>
            <w:noWrap w:val="0"/>
            <w:vAlign w:val="center"/>
          </w:tcPr>
          <w:p>
            <w:pPr>
              <w:jc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宁德市工信局</w:t>
            </w:r>
          </w:p>
        </w:tc>
        <w:tc>
          <w:tcPr>
            <w:tcW w:w="2765" w:type="dxa"/>
            <w:noWrap w:val="0"/>
            <w:vAlign w:val="center"/>
          </w:tcPr>
          <w:p>
            <w:pPr>
              <w:jc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生产服务业科：2822381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0"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12</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绿色制造体系创建项目奖励</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《福建省工业和信息化厅 福建省财政厅关于印发推动工业节能降碳和资源综合利用若干措施的通知》（闽工信规〔2022〕2号）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对列入国家绿色工厂、绿色供应链管理名单企业给予不超过30万元的一次性奖励。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节能科：2870165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0" w:hRule="atLeast"/>
        </w:trPr>
        <w:tc>
          <w:tcPr>
            <w:tcW w:w="739" w:type="dxa"/>
            <w:vMerge w:val="restart"/>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13</w:t>
            </w:r>
          </w:p>
        </w:tc>
        <w:tc>
          <w:tcPr>
            <w:tcW w:w="1603" w:type="dxa"/>
            <w:vMerge w:val="restart"/>
            <w:noWrap w:val="0"/>
            <w:vAlign w:val="center"/>
          </w:tcPr>
          <w:p>
            <w:pPr>
              <w:widowControl/>
              <w:spacing w:line="280" w:lineRule="exact"/>
              <w:jc w:val="lef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能效“领跑者”标杆奖励</w:t>
            </w:r>
          </w:p>
        </w:tc>
        <w:tc>
          <w:tcPr>
            <w:tcW w:w="4177" w:type="dxa"/>
            <w:vMerge w:val="restart"/>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《省级工业领域重点用能行业能效“领跑者”标杆企业遴选工作实施方案》（闽工信规〔2022〕15号）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获评国家级能效“领跑者”标杆企业给予不超过150万元的一次性奖励。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1" w:hRule="atLeast"/>
        </w:trPr>
        <w:tc>
          <w:tcPr>
            <w:tcW w:w="739" w:type="dxa"/>
            <w:vMerge w:val="continue"/>
            <w:noWrap/>
            <w:vAlign w:val="center"/>
          </w:tcPr>
          <w:p>
            <w:pPr>
              <w:widowControl/>
              <w:spacing w:line="280" w:lineRule="exact"/>
              <w:jc w:val="center"/>
              <w:rPr>
                <w:rFonts w:hint="eastAsia" w:ascii="仿宋_GB2312" w:hAnsi="仿宋_GB2312" w:eastAsia="仿宋_GB2312" w:cs="仿宋_GB2312"/>
                <w:color w:val="000000"/>
                <w:sz w:val="22"/>
                <w:szCs w:val="22"/>
              </w:rPr>
            </w:pPr>
          </w:p>
        </w:tc>
        <w:tc>
          <w:tcPr>
            <w:tcW w:w="1603" w:type="dxa"/>
            <w:vMerge w:val="continue"/>
            <w:noWrap w:val="0"/>
            <w:vAlign w:val="center"/>
          </w:tcPr>
          <w:p>
            <w:pPr>
              <w:widowControl/>
              <w:spacing w:line="280" w:lineRule="exact"/>
              <w:jc w:val="left"/>
              <w:rPr>
                <w:rFonts w:hint="eastAsia" w:ascii="仿宋_GB2312" w:hAnsi="仿宋_GB2312" w:eastAsia="仿宋_GB2312" w:cs="仿宋_GB2312"/>
                <w:color w:val="000000"/>
                <w:sz w:val="22"/>
                <w:szCs w:val="22"/>
              </w:rPr>
            </w:pPr>
          </w:p>
        </w:tc>
        <w:tc>
          <w:tcPr>
            <w:tcW w:w="4177" w:type="dxa"/>
            <w:vMerge w:val="continue"/>
            <w:noWrap w:val="0"/>
            <w:vAlign w:val="center"/>
          </w:tcPr>
          <w:p>
            <w:pPr>
              <w:widowControl/>
              <w:spacing w:line="280" w:lineRule="exact"/>
              <w:rPr>
                <w:rFonts w:hint="eastAsia" w:ascii="仿宋_GB2312" w:hAnsi="仿宋_GB2312" w:eastAsia="仿宋_GB2312" w:cs="仿宋_GB2312"/>
                <w:color w:val="000000"/>
                <w:sz w:val="22"/>
                <w:szCs w:val="22"/>
              </w:rPr>
            </w:pP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获评省级能效“领跑者”标杆企业给予不超过50万元的一次性奖励。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4" w:hRule="atLeast"/>
        </w:trPr>
        <w:tc>
          <w:tcPr>
            <w:tcW w:w="739" w:type="dxa"/>
            <w:vMerge w:val="restart"/>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14</w:t>
            </w:r>
          </w:p>
        </w:tc>
        <w:tc>
          <w:tcPr>
            <w:tcW w:w="1603" w:type="dxa"/>
            <w:vMerge w:val="restart"/>
            <w:noWrap w:val="0"/>
            <w:vAlign w:val="center"/>
          </w:tcPr>
          <w:p>
            <w:pPr>
              <w:widowControl/>
              <w:spacing w:line="280" w:lineRule="exact"/>
              <w:jc w:val="lef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水效“领跑者”标杆奖励</w:t>
            </w:r>
          </w:p>
        </w:tc>
        <w:tc>
          <w:tcPr>
            <w:tcW w:w="4177" w:type="dxa"/>
            <w:vMerge w:val="restart"/>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《福建省工业和信息化厅关于印发省级工业领域重点用水企业和园区水效“领跑者”遴选工作实施方案的通知》（闽工信规〔2023〕6号）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获评国家级水效“领跑者”标杆企业给予不超过80万元的一次性奖励。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3" w:hRule="atLeast"/>
        </w:trPr>
        <w:tc>
          <w:tcPr>
            <w:tcW w:w="739" w:type="dxa"/>
            <w:vMerge w:val="continue"/>
            <w:noWrap/>
            <w:vAlign w:val="center"/>
          </w:tcPr>
          <w:p>
            <w:pPr>
              <w:widowControl/>
              <w:spacing w:line="280" w:lineRule="exact"/>
              <w:jc w:val="center"/>
              <w:rPr>
                <w:rFonts w:hint="eastAsia" w:ascii="仿宋_GB2312" w:hAnsi="仿宋_GB2312" w:eastAsia="仿宋_GB2312" w:cs="仿宋_GB2312"/>
                <w:color w:val="000000"/>
                <w:sz w:val="22"/>
                <w:szCs w:val="22"/>
              </w:rPr>
            </w:pPr>
          </w:p>
        </w:tc>
        <w:tc>
          <w:tcPr>
            <w:tcW w:w="1603" w:type="dxa"/>
            <w:vMerge w:val="continue"/>
            <w:noWrap w:val="0"/>
            <w:vAlign w:val="center"/>
          </w:tcPr>
          <w:p>
            <w:pPr>
              <w:widowControl/>
              <w:spacing w:line="280" w:lineRule="exact"/>
              <w:jc w:val="left"/>
              <w:rPr>
                <w:rFonts w:hint="eastAsia" w:ascii="仿宋_GB2312" w:hAnsi="仿宋_GB2312" w:eastAsia="仿宋_GB2312" w:cs="仿宋_GB2312"/>
                <w:color w:val="000000"/>
                <w:sz w:val="22"/>
                <w:szCs w:val="22"/>
              </w:rPr>
            </w:pPr>
          </w:p>
        </w:tc>
        <w:tc>
          <w:tcPr>
            <w:tcW w:w="4177" w:type="dxa"/>
            <w:vMerge w:val="continue"/>
            <w:noWrap w:val="0"/>
            <w:vAlign w:val="center"/>
          </w:tcPr>
          <w:p>
            <w:pPr>
              <w:widowControl/>
              <w:spacing w:line="280" w:lineRule="exact"/>
              <w:rPr>
                <w:rFonts w:hint="eastAsia" w:ascii="仿宋_GB2312" w:hAnsi="仿宋_GB2312" w:eastAsia="仿宋_GB2312" w:cs="仿宋_GB2312"/>
                <w:color w:val="000000"/>
                <w:sz w:val="22"/>
                <w:szCs w:val="22"/>
              </w:rPr>
            </w:pP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获评省级水效“领跑者”标杆企业给予不超过30万元的一次性奖励。</w:t>
            </w:r>
          </w:p>
        </w:tc>
        <w:tc>
          <w:tcPr>
            <w:tcW w:w="1235" w:type="dxa"/>
            <w:vMerge w:val="continue"/>
            <w:noWrap w:val="0"/>
            <w:vAlign w:val="center"/>
          </w:tcPr>
          <w:p>
            <w:pP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5"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15</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宁德市知识产权优势企业奖励</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《宁德市知识产权优势企业管理办法》（宁市监规〔2023〕2号）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一次性给予最高不超过5万元奖励。</w:t>
            </w:r>
          </w:p>
        </w:tc>
        <w:tc>
          <w:tcPr>
            <w:tcW w:w="123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宁德市市场监督管理局</w:t>
            </w:r>
          </w:p>
        </w:tc>
        <w:tc>
          <w:tcPr>
            <w:tcW w:w="2765" w:type="dxa"/>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知识产权科：2250961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0"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16</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宁德市质量奖</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《宁德市人民政府办公室关于印发宁德市质量奖管理规定（修订）的通知》（宁政办〔2020〕61号）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奖励每个获市质量奖组织50万元、每个获市质量提名奖组织30万元。</w:t>
            </w:r>
          </w:p>
        </w:tc>
        <w:tc>
          <w:tcPr>
            <w:tcW w:w="1235" w:type="dxa"/>
            <w:vMerge w:val="continue"/>
            <w:noWrap w:val="0"/>
            <w:vAlign w:val="center"/>
          </w:tcPr>
          <w:p>
            <w:pPr>
              <w:jc w:val="center"/>
              <w:rPr>
                <w:rFonts w:hint="eastAsia" w:ascii="仿宋_GB2312" w:hAnsi="仿宋_GB2312" w:eastAsia="仿宋_GB2312" w:cs="仿宋_GB2312"/>
                <w:color w:val="000000"/>
                <w:sz w:val="22"/>
                <w:szCs w:val="22"/>
              </w:rPr>
            </w:pPr>
          </w:p>
        </w:tc>
        <w:tc>
          <w:tcPr>
            <w:tcW w:w="2765" w:type="dxa"/>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质量发展科：2225655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6"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17</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支持龙头企业创建“三品一标”</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《福建省农业农村厅关于促进农业产业化龙头企业做大做强八条措施的通知》（闽农产函〔2021〕826号）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对通过绿色食品、有机食品、农产品地理标志新认证认定的，农业农村部门按规定给予每个产品奖励1万元。</w:t>
            </w:r>
          </w:p>
        </w:tc>
        <w:tc>
          <w:tcPr>
            <w:tcW w:w="1235" w:type="dxa"/>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宁德市农业农村局</w:t>
            </w:r>
          </w:p>
        </w:tc>
        <w:tc>
          <w:tcPr>
            <w:tcW w:w="2765" w:type="dxa"/>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绿色食品发展中心：2071567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7"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18</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增值税小规模纳税人免征增值税政策</w:t>
            </w:r>
          </w:p>
        </w:tc>
        <w:tc>
          <w:tcPr>
            <w:tcW w:w="4177" w:type="dxa"/>
            <w:vMerge w:val="restart"/>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《财政部 税务总局关于增值税小规模纳税人减免增值税政策的公告》（财政部 税务总局公告2023年第19号）</w:t>
            </w:r>
            <w:r>
              <w:rPr>
                <w:rFonts w:hint="eastAsia" w:ascii="仿宋_GB2312" w:hAnsi="仿宋_GB2312" w:eastAsia="仿宋_GB2312" w:cs="仿宋_GB2312"/>
                <w:color w:val="000000"/>
                <w:kern w:val="0"/>
                <w:sz w:val="22"/>
                <w:szCs w:val="22"/>
                <w:lang w:bidi="ar"/>
              </w:rPr>
              <w:br w:type="textWrapping"/>
            </w:r>
            <w:r>
              <w:rPr>
                <w:rFonts w:hint="eastAsia" w:ascii="仿宋_GB2312" w:hAnsi="仿宋_GB2312" w:eastAsia="仿宋_GB2312" w:cs="仿宋_GB2312"/>
                <w:color w:val="000000"/>
                <w:kern w:val="0"/>
                <w:sz w:val="22"/>
                <w:szCs w:val="22"/>
                <w:lang w:bidi="ar"/>
              </w:rPr>
              <w:t xml:space="preserve">《财政部 税务总局关于明确增值税小规模纳税人减免增值税等政策的公告》（财政部 税务总局公告2023年第1号）                   </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自2023年1月1日至2027年12月31日，对月销售额10万元以下（含本数）的增值税小规模纳税人，免征增值税。</w:t>
            </w:r>
          </w:p>
        </w:tc>
        <w:tc>
          <w:tcPr>
            <w:tcW w:w="123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主管税务机关</w:t>
            </w:r>
          </w:p>
        </w:tc>
        <w:tc>
          <w:tcPr>
            <w:tcW w:w="276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12366纳税服务热线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18"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19</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增值税小规模纳税人减征增值税政策</w:t>
            </w:r>
          </w:p>
        </w:tc>
        <w:tc>
          <w:tcPr>
            <w:tcW w:w="4177" w:type="dxa"/>
            <w:vMerge w:val="continue"/>
            <w:noWrap w:val="0"/>
            <w:vAlign w:val="center"/>
          </w:tcPr>
          <w:p>
            <w:pPr>
              <w:widowControl/>
              <w:spacing w:line="280" w:lineRule="exact"/>
              <w:rPr>
                <w:rFonts w:hint="eastAsia" w:ascii="仿宋_GB2312" w:hAnsi="仿宋_GB2312" w:eastAsia="仿宋_GB2312" w:cs="仿宋_GB2312"/>
                <w:color w:val="000000"/>
                <w:sz w:val="22"/>
                <w:szCs w:val="22"/>
              </w:rPr>
            </w:pP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自2023年1月1日至2027年12月31日，增值税小规模纳税人适用3%征收率的应税销售收入，减按1%征收率征收增值税；适用3%预征率的预缴增值税项目，减按1%预征率预缴增值税。</w:t>
            </w:r>
          </w:p>
        </w:tc>
        <w:tc>
          <w:tcPr>
            <w:tcW w:w="1235" w:type="dxa"/>
            <w:vMerge w:val="continue"/>
            <w:noWrap w:val="0"/>
            <w:vAlign w:val="center"/>
          </w:tcPr>
          <w:p>
            <w:pPr>
              <w:jc w:val="cente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16"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20</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个体工商户年应纳税所得额不超过200万元部分减半征收个人所得税政策</w:t>
            </w:r>
          </w:p>
        </w:tc>
        <w:tc>
          <w:tcPr>
            <w:tcW w:w="4177" w:type="dxa"/>
            <w:vMerge w:val="restart"/>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《财政部 税务总局关于进一步支持小微企业和个体工商户发展有关税费政策的公告》（财政部 税务总局公告2023年第12号）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自2023年1月1日至2027年12月31日，对个体工商户年应纳税所得额不超过200万元的部分，减半征收个人所得税。个体工商户在享受现行其他个人所得税优惠政策的基础上，可叠加享受本条优惠政策。</w:t>
            </w:r>
          </w:p>
        </w:tc>
        <w:tc>
          <w:tcPr>
            <w:tcW w:w="1235" w:type="dxa"/>
            <w:vMerge w:val="continue"/>
            <w:noWrap w:val="0"/>
            <w:vAlign w:val="center"/>
          </w:tcPr>
          <w:p>
            <w:pPr>
              <w:jc w:val="cente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6"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21</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小型微利企业减征企业所得税政策</w:t>
            </w:r>
          </w:p>
        </w:tc>
        <w:tc>
          <w:tcPr>
            <w:tcW w:w="4177" w:type="dxa"/>
            <w:vMerge w:val="continue"/>
            <w:noWrap w:val="0"/>
            <w:vAlign w:val="center"/>
          </w:tcPr>
          <w:p>
            <w:pPr>
              <w:widowControl/>
              <w:spacing w:line="280" w:lineRule="exact"/>
              <w:rPr>
                <w:rFonts w:hint="eastAsia" w:ascii="仿宋_GB2312" w:hAnsi="仿宋_GB2312" w:eastAsia="仿宋_GB2312" w:cs="仿宋_GB2312"/>
                <w:color w:val="000000"/>
                <w:sz w:val="22"/>
                <w:szCs w:val="22"/>
              </w:rPr>
            </w:pP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自2023年1月1日至2027年12月31日，对小型微利企业减按25%计算应纳税所得额，按20%的税率缴纳企业所得税政策。</w:t>
            </w:r>
          </w:p>
        </w:tc>
        <w:tc>
          <w:tcPr>
            <w:tcW w:w="1235" w:type="dxa"/>
            <w:vMerge w:val="continue"/>
            <w:noWrap w:val="0"/>
            <w:vAlign w:val="center"/>
          </w:tcPr>
          <w:p>
            <w:pPr>
              <w:jc w:val="cente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98"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22</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增值税小规模纳税人、小型微利企业和个体工商户减半征收“六税两费”</w:t>
            </w:r>
          </w:p>
        </w:tc>
        <w:tc>
          <w:tcPr>
            <w:tcW w:w="4177" w:type="dxa"/>
            <w:noWrap w:val="0"/>
            <w:vAlign w:val="center"/>
          </w:tcPr>
          <w:p>
            <w:pPr>
              <w:widowControl/>
              <w:spacing w:line="280" w:lineRule="exact"/>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《财政部 税务总局关于进一步支持小微企业和个体工商户发展有关税费政策的公告》（财政部 税务总局公告2023年第12号）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自2023年1月1日至2027年12月31日，对增值税小规模纳税人、小型微利企业和个体工商户减半征收资源税（不含水资源税）、城市维护建设税、房产税、城镇土地使用税、印花税（不含证券交易印花税）、耕地占用税和教育费附加、地方教育附加。</w:t>
            </w:r>
          </w:p>
        </w:tc>
        <w:tc>
          <w:tcPr>
            <w:tcW w:w="123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主管税务机关</w:t>
            </w:r>
          </w:p>
        </w:tc>
        <w:tc>
          <w:tcPr>
            <w:tcW w:w="2765" w:type="dxa"/>
            <w:vMerge w:val="restart"/>
            <w:noWrap w:val="0"/>
            <w:vAlign w:val="center"/>
          </w:tcPr>
          <w:p>
            <w:pPr>
              <w:widowControl/>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12366纳税服务热线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9"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23</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高新技术企业减按15％税率征收企业所得税政策</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《中华人民共和国企业所得税法》（2018年12月29日第十三届全国人民代表大会常务委员会第七次会议修正）第二十八条第二款</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国家需要重点扶持的高新技术企业，减按15%的税率征收企业所得税。</w:t>
            </w:r>
          </w:p>
        </w:tc>
        <w:tc>
          <w:tcPr>
            <w:tcW w:w="1235" w:type="dxa"/>
            <w:vMerge w:val="continue"/>
            <w:noWrap w:val="0"/>
            <w:vAlign w:val="center"/>
          </w:tcPr>
          <w:p>
            <w:pPr>
              <w:jc w:val="cente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92"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24</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研发费用税前加计扣除政策</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《财政部 税务总局关于进一步完善研发费用税前加计扣除政策的公告》（财政部 税务总局公告2023年第7号）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企业开展研发活动中实际发生的研发费用，未形成无形资产计入当期损益的，在按规定据实扣除的基础上，自2023年1月1日起，再按照实际发生额的100%在税前加计扣除；形成无形资产的，自2023年1月1日起，按照无形资产成本的200%在税前摊销。</w:t>
            </w:r>
          </w:p>
        </w:tc>
        <w:tc>
          <w:tcPr>
            <w:tcW w:w="1235" w:type="dxa"/>
            <w:vMerge w:val="continue"/>
            <w:noWrap w:val="0"/>
            <w:vAlign w:val="center"/>
          </w:tcPr>
          <w:p>
            <w:pPr>
              <w:widowControl/>
              <w:jc w:val="center"/>
              <w:textAlignment w:val="center"/>
              <w:rPr>
                <w:rFonts w:hint="eastAsia" w:ascii="仿宋_GB2312" w:hAnsi="仿宋_GB2312" w:eastAsia="仿宋_GB2312" w:cs="仿宋_GB2312"/>
                <w:color w:val="000000"/>
                <w:sz w:val="22"/>
                <w:szCs w:val="22"/>
              </w:rPr>
            </w:pPr>
          </w:p>
        </w:tc>
        <w:tc>
          <w:tcPr>
            <w:tcW w:w="2765" w:type="dxa"/>
            <w:vMerge w:val="continue"/>
            <w:noWrap w:val="0"/>
            <w:vAlign w:val="center"/>
          </w:tcPr>
          <w:p>
            <w:pPr>
              <w:widowControl/>
              <w:jc w:val="center"/>
              <w:textAlignment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1"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25</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物流企业大宗商品仓储设施用地减半征收城镇土地使用税政策</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《财政部 税务总局关于继续实施物流企业大宗商品仓储设施用地城镇土地使用税优惠政策的公告》（财政部 税务总局公告2023年第5号）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自2023年1月1日起至2027年12月31日止，对物流企业自有（包括自用和出租）或承租的大宗商品仓储设施用地，减按所属土地等级适用税额标准的50%计征城镇土地使用税。</w:t>
            </w:r>
          </w:p>
        </w:tc>
        <w:tc>
          <w:tcPr>
            <w:tcW w:w="1235" w:type="dxa"/>
            <w:vMerge w:val="continue"/>
            <w:noWrap w:val="0"/>
            <w:vAlign w:val="center"/>
          </w:tcPr>
          <w:p>
            <w:pPr>
              <w:jc w:val="center"/>
              <w:rPr>
                <w:rFonts w:hint="eastAsia" w:ascii="仿宋_GB2312" w:hAnsi="仿宋_GB2312" w:eastAsia="仿宋_GB2312" w:cs="仿宋_GB2312"/>
                <w:color w:val="000000"/>
                <w:sz w:val="22"/>
                <w:szCs w:val="22"/>
              </w:rPr>
            </w:pPr>
          </w:p>
        </w:tc>
        <w:tc>
          <w:tcPr>
            <w:tcW w:w="2765" w:type="dxa"/>
            <w:vMerge w:val="continue"/>
            <w:noWrap w:val="0"/>
            <w:vAlign w:val="center"/>
          </w:tcPr>
          <w:p>
            <w:pPr>
              <w:jc w:val="center"/>
              <w:rPr>
                <w:rFonts w:hint="eastAsia" w:ascii="仿宋_GB2312" w:hAnsi="仿宋_GB2312" w:eastAsia="仿宋_GB2312" w:cs="仿宋_GB2312"/>
                <w:color w:val="00000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1"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26</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新能源汽车车辆购置税减免政策</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br w:type="textWrapping"/>
            </w:r>
            <w:r>
              <w:rPr>
                <w:rFonts w:hint="eastAsia" w:ascii="仿宋_GB2312" w:hAnsi="仿宋_GB2312" w:eastAsia="仿宋_GB2312" w:cs="仿宋_GB2312"/>
                <w:color w:val="000000"/>
                <w:kern w:val="0"/>
                <w:sz w:val="22"/>
                <w:szCs w:val="22"/>
                <w:lang w:bidi="ar"/>
              </w:rPr>
              <w:t>《财政部 税务总局 工业和信息化部关于延续和优化新能源汽车车辆购置税减免政策的公告》（财政部 税务总局 工业和信息化部公告2023年第10号）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对购置日期在2024年1月1日至2025年12月31日期间的新能源汽车免征车辆购置税，其中，每辆新能源乘用车免税额不超过3万元；对购置日期在2026年1月1日至2027年12月31日期间的新能源汽车减半征收车辆购置税，其中，每辆新能源乘用车减税额不超过1.5万元。</w:t>
            </w:r>
          </w:p>
        </w:tc>
        <w:tc>
          <w:tcPr>
            <w:tcW w:w="1235" w:type="dxa"/>
            <w:vMerge w:val="restart"/>
            <w:noWrap w:val="0"/>
            <w:vAlign w:val="center"/>
          </w:tcPr>
          <w:p>
            <w:pPr>
              <w:jc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主管税务机关</w:t>
            </w:r>
          </w:p>
        </w:tc>
        <w:tc>
          <w:tcPr>
            <w:tcW w:w="2765" w:type="dxa"/>
            <w:vMerge w:val="restart"/>
            <w:noWrap w:val="0"/>
            <w:vAlign w:val="center"/>
          </w:tcPr>
          <w:p>
            <w:pPr>
              <w:jc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12366纳税服务热线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7"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27</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符合条件的用人单位减免残疾人就业保障金政策</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《财政部关于延续实施残疾人就业保障金优惠政策的公告》（财政部公告2023年第8号）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自2023年1月1日起至2027年12月31日，延续实施残疾人就业保障金分档减缴政策。其中：用人单位安排残疾人就业比例达到1%（含）以上，</w:t>
            </w:r>
            <w:bookmarkStart w:id="0" w:name="_GoBack"/>
            <w:bookmarkEnd w:id="0"/>
            <w:r>
              <w:rPr>
                <w:rFonts w:hint="eastAsia" w:ascii="仿宋_GB2312" w:hAnsi="仿宋_GB2312" w:eastAsia="仿宋_GB2312" w:cs="仿宋_GB2312"/>
                <w:color w:val="000000"/>
                <w:kern w:val="0"/>
                <w:sz w:val="22"/>
                <w:szCs w:val="22"/>
                <w:lang w:bidi="ar"/>
              </w:rPr>
              <w:t>但未达到福建省人民政府规定的1.6%比例的，按规定应缴费额的50%缴纳残疾人就业保障金；用人单位安排残疾人就业比例在1%以下的，按规定应缴费额的90%缴纳残疾人就业保障金。在职职工人数在30人（含）以下的企业，继续免征残疾人就业保障金。</w:t>
            </w:r>
          </w:p>
        </w:tc>
        <w:tc>
          <w:tcPr>
            <w:tcW w:w="1235" w:type="dxa"/>
            <w:vMerge w:val="continue"/>
            <w:noWrap w:val="0"/>
            <w:vAlign w:val="center"/>
          </w:tcPr>
          <w:p>
            <w:pPr>
              <w:jc w:val="center"/>
              <w:rPr>
                <w:rFonts w:hint="eastAsia" w:ascii="宋体" w:hAnsi="宋体" w:eastAsia="宋体" w:cs="宋体"/>
                <w:color w:val="000000"/>
                <w:sz w:val="20"/>
                <w:szCs w:val="20"/>
              </w:rPr>
            </w:pPr>
          </w:p>
        </w:tc>
        <w:tc>
          <w:tcPr>
            <w:tcW w:w="2765" w:type="dxa"/>
            <w:vMerge w:val="continue"/>
            <w:noWrap w:val="0"/>
            <w:vAlign w:val="center"/>
          </w:tcPr>
          <w:p>
            <w:pPr>
              <w:jc w:val="center"/>
              <w:rPr>
                <w:rFonts w:hint="eastAsia" w:ascii="宋体" w:hAnsi="宋体" w:eastAsia="宋体" w:cs="宋体"/>
                <w:color w:val="00000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4" w:hRule="atLeast"/>
        </w:trPr>
        <w:tc>
          <w:tcPr>
            <w:tcW w:w="739" w:type="dxa"/>
            <w:noWrap/>
            <w:vAlign w:val="center"/>
          </w:tcPr>
          <w:p>
            <w:pPr>
              <w:widowControl/>
              <w:spacing w:line="280" w:lineRule="exact"/>
              <w:jc w:val="center"/>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28</w:t>
            </w:r>
          </w:p>
        </w:tc>
        <w:tc>
          <w:tcPr>
            <w:tcW w:w="1603"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阶段性降低失业保险费率政策</w:t>
            </w:r>
          </w:p>
        </w:tc>
        <w:tc>
          <w:tcPr>
            <w:tcW w:w="4177"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《人力资源社会保障部 财政部 国家税务总局关于阶段性降低失业保险、工伤保险费率有关问题的通知》（人社部发〔2023〕19号）</w:t>
            </w:r>
          </w:p>
        </w:tc>
        <w:tc>
          <w:tcPr>
            <w:tcW w:w="3559" w:type="dxa"/>
            <w:noWrap w:val="0"/>
            <w:vAlign w:val="center"/>
          </w:tcPr>
          <w:p>
            <w:pPr>
              <w:widowControl/>
              <w:spacing w:line="280" w:lineRule="exact"/>
              <w:textAlignment w:val="center"/>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自2023年5月1日起，继续实施阶段性降低失业保险费率至1%的政策，实施期限延长至2024年底。</w:t>
            </w:r>
          </w:p>
        </w:tc>
        <w:tc>
          <w:tcPr>
            <w:tcW w:w="1235" w:type="dxa"/>
            <w:vMerge w:val="continue"/>
            <w:noWrap w:val="0"/>
            <w:vAlign w:val="center"/>
          </w:tcPr>
          <w:p>
            <w:pPr>
              <w:jc w:val="center"/>
              <w:rPr>
                <w:rFonts w:hint="eastAsia" w:ascii="宋体" w:hAnsi="宋体" w:eastAsia="宋体" w:cs="宋体"/>
                <w:color w:val="000000"/>
                <w:sz w:val="20"/>
                <w:szCs w:val="20"/>
              </w:rPr>
            </w:pPr>
          </w:p>
        </w:tc>
        <w:tc>
          <w:tcPr>
            <w:tcW w:w="2765" w:type="dxa"/>
            <w:vMerge w:val="continue"/>
            <w:noWrap w:val="0"/>
            <w:vAlign w:val="center"/>
          </w:tcPr>
          <w:p>
            <w:pPr>
              <w:jc w:val="center"/>
              <w:rPr>
                <w:rFonts w:hint="eastAsia" w:ascii="宋体" w:hAnsi="宋体" w:eastAsia="宋体" w:cs="宋体"/>
                <w:color w:val="000000"/>
                <w:sz w:val="20"/>
                <w:szCs w:val="20"/>
              </w:rPr>
            </w:pPr>
          </w:p>
        </w:tc>
      </w:tr>
    </w:tbl>
    <w:p>
      <w:pPr>
        <w:sectPr>
          <w:pgSz w:w="16838" w:h="11906" w:orient="landscape"/>
          <w:pgMar w:top="1417" w:right="1417" w:bottom="1134" w:left="1417" w:header="851" w:footer="992" w:gutter="0"/>
          <w:pgNumType w:fmt="decimal"/>
          <w:cols w:space="720" w:num="1"/>
          <w:docGrid w:type="lines" w:linePitch="315"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altName w:val="Arial Unicode MS"/>
    <w:panose1 w:val="02000000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right" w:pos="8820"/>
      </w:tabs>
      <w:ind w:right="23"/>
      <w:jc w:val="right"/>
      <w:rPr>
        <w:rFonts w:hint="eastAsia"/>
        <w:lang w:val="en-US"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tabs>
                              <w:tab w:val="right" w:pos="8820"/>
                              <w:tab w:val="clear" w:pos="8306"/>
                            </w:tabs>
                            <w:ind w:right="23"/>
                            <w:jc w:val="right"/>
                          </w:pPr>
                          <w:r>
                            <w:rPr>
                              <w:rFonts w:hint="eastAsia"/>
                              <w:kern w:val="0"/>
                              <w:sz w:val="28"/>
                              <w:szCs w:val="21"/>
                            </w:rPr>
                            <w:t>—</w:t>
                          </w:r>
                          <w:r>
                            <w:rPr>
                              <w:kern w:val="0"/>
                              <w:sz w:val="28"/>
                              <w:szCs w:val="21"/>
                            </w:rPr>
                            <w:t xml:space="preserve"> </w:t>
                          </w:r>
                          <w:r>
                            <w:rPr>
                              <w:rFonts w:hint="eastAsia" w:ascii="宋体" w:hAnsi="宋体" w:eastAsia="宋体" w:cs="宋体"/>
                              <w:kern w:val="0"/>
                              <w:sz w:val="28"/>
                              <w:szCs w:val="21"/>
                            </w:rPr>
                            <w:fldChar w:fldCharType="begin"/>
                          </w:r>
                          <w:r>
                            <w:rPr>
                              <w:rFonts w:hint="eastAsia" w:ascii="宋体" w:hAnsi="宋体" w:eastAsia="宋体" w:cs="宋体"/>
                              <w:kern w:val="0"/>
                              <w:sz w:val="28"/>
                              <w:szCs w:val="21"/>
                            </w:rPr>
                            <w:instrText xml:space="preserve"> PAGE </w:instrText>
                          </w:r>
                          <w:r>
                            <w:rPr>
                              <w:rFonts w:hint="eastAsia" w:ascii="宋体" w:hAnsi="宋体" w:eastAsia="宋体" w:cs="宋体"/>
                              <w:kern w:val="0"/>
                              <w:sz w:val="28"/>
                              <w:szCs w:val="21"/>
                            </w:rPr>
                            <w:fldChar w:fldCharType="separate"/>
                          </w:r>
                          <w:r>
                            <w:rPr>
                              <w:rFonts w:hint="eastAsia" w:ascii="宋体" w:hAnsi="宋体" w:eastAsia="宋体" w:cs="宋体"/>
                              <w:kern w:val="0"/>
                              <w:sz w:val="28"/>
                              <w:szCs w:val="21"/>
                            </w:rPr>
                            <w:t>1</w:t>
                          </w:r>
                          <w:r>
                            <w:rPr>
                              <w:rFonts w:hint="eastAsia" w:ascii="宋体" w:hAnsi="宋体" w:eastAsia="宋体" w:cs="宋体"/>
                              <w:kern w:val="0"/>
                              <w:sz w:val="28"/>
                              <w:szCs w:val="21"/>
                            </w:rPr>
                            <w:fldChar w:fldCharType="end"/>
                          </w:r>
                          <w:r>
                            <w:rPr>
                              <w:kern w:val="0"/>
                              <w:sz w:val="28"/>
                              <w:szCs w:val="21"/>
                            </w:rPr>
                            <w:t xml:space="preserve"> </w:t>
                          </w:r>
                          <w:r>
                            <w:rPr>
                              <w:rFonts w:hint="eastAsia"/>
                              <w:kern w:val="0"/>
                              <w:sz w:val="28"/>
                              <w:szCs w:val="21"/>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5"/>
                      <w:tabs>
                        <w:tab w:val="right" w:pos="8820"/>
                        <w:tab w:val="clear" w:pos="8306"/>
                      </w:tabs>
                      <w:ind w:right="23"/>
                      <w:jc w:val="right"/>
                    </w:pPr>
                    <w:r>
                      <w:rPr>
                        <w:rFonts w:hint="eastAsia"/>
                        <w:kern w:val="0"/>
                        <w:sz w:val="28"/>
                        <w:szCs w:val="21"/>
                      </w:rPr>
                      <w:t>—</w:t>
                    </w:r>
                    <w:r>
                      <w:rPr>
                        <w:kern w:val="0"/>
                        <w:sz w:val="28"/>
                        <w:szCs w:val="21"/>
                      </w:rPr>
                      <w:t xml:space="preserve"> </w:t>
                    </w:r>
                    <w:r>
                      <w:rPr>
                        <w:rFonts w:hint="eastAsia" w:ascii="宋体" w:hAnsi="宋体" w:eastAsia="宋体" w:cs="宋体"/>
                        <w:kern w:val="0"/>
                        <w:sz w:val="28"/>
                        <w:szCs w:val="21"/>
                      </w:rPr>
                      <w:fldChar w:fldCharType="begin"/>
                    </w:r>
                    <w:r>
                      <w:rPr>
                        <w:rFonts w:hint="eastAsia" w:ascii="宋体" w:hAnsi="宋体" w:eastAsia="宋体" w:cs="宋体"/>
                        <w:kern w:val="0"/>
                        <w:sz w:val="28"/>
                        <w:szCs w:val="21"/>
                      </w:rPr>
                      <w:instrText xml:space="preserve"> PAGE </w:instrText>
                    </w:r>
                    <w:r>
                      <w:rPr>
                        <w:rFonts w:hint="eastAsia" w:ascii="宋体" w:hAnsi="宋体" w:eastAsia="宋体" w:cs="宋体"/>
                        <w:kern w:val="0"/>
                        <w:sz w:val="28"/>
                        <w:szCs w:val="21"/>
                      </w:rPr>
                      <w:fldChar w:fldCharType="separate"/>
                    </w:r>
                    <w:r>
                      <w:rPr>
                        <w:rFonts w:hint="eastAsia" w:ascii="宋体" w:hAnsi="宋体" w:eastAsia="宋体" w:cs="宋体"/>
                        <w:kern w:val="0"/>
                        <w:sz w:val="28"/>
                        <w:szCs w:val="21"/>
                      </w:rPr>
                      <w:t>1</w:t>
                    </w:r>
                    <w:r>
                      <w:rPr>
                        <w:rFonts w:hint="eastAsia" w:ascii="宋体" w:hAnsi="宋体" w:eastAsia="宋体" w:cs="宋体"/>
                        <w:kern w:val="0"/>
                        <w:sz w:val="28"/>
                        <w:szCs w:val="21"/>
                      </w:rPr>
                      <w:fldChar w:fldCharType="end"/>
                    </w:r>
                    <w:r>
                      <w:rPr>
                        <w:kern w:val="0"/>
                        <w:sz w:val="28"/>
                        <w:szCs w:val="21"/>
                      </w:rPr>
                      <w:t xml:space="preserve"> </w:t>
                    </w:r>
                    <w:r>
                      <w:rPr>
                        <w:rFonts w:hint="eastAsia"/>
                        <w:kern w:val="0"/>
                        <w:sz w:val="28"/>
                        <w:szCs w:val="21"/>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left" w:pos="7560"/>
        <w:tab w:val="right" w:pos="8484"/>
      </w:tabs>
      <w:snapToGrid w:val="0"/>
      <w:ind w:right="360"/>
      <w:jc w:val="left"/>
      <w:rPr>
        <w:rFonts w:hint="eastAsia" w:ascii="宋体" w:hAnsi="宋体" w:eastAsia="宋体" w:cs="宋体"/>
        <w:kern w:val="2"/>
        <w:sz w:val="28"/>
        <w:szCs w:val="20"/>
        <w:lang w:val="en-US" w:eastAsia="zh-CN" w:bidi="ar-SA"/>
      </w:rPr>
    </w:pPr>
    <w:r>
      <w:rPr>
        <w:rFonts w:hint="eastAsia" w:ascii="宋体" w:hAnsi="宋体" w:eastAsia="宋体" w:cs="宋体"/>
        <w:kern w:val="0"/>
        <w:sz w:val="28"/>
        <w:szCs w:val="22"/>
        <w:lang w:val="en-US" w:eastAsia="zh-CN" w:bidi="ar-SA"/>
      </w:rPr>
      <w:t xml:space="preserve">— </w:t>
    </w:r>
    <w:r>
      <w:rPr>
        <w:rFonts w:hint="eastAsia" w:ascii="宋体" w:hAnsi="宋体" w:eastAsia="宋体" w:cs="宋体"/>
        <w:kern w:val="0"/>
        <w:sz w:val="28"/>
        <w:szCs w:val="22"/>
        <w:lang w:val="en-US" w:eastAsia="zh-CN" w:bidi="ar-SA"/>
      </w:rPr>
      <w:fldChar w:fldCharType="begin"/>
    </w:r>
    <w:r>
      <w:rPr>
        <w:rFonts w:hint="eastAsia" w:ascii="宋体" w:hAnsi="宋体" w:eastAsia="宋体" w:cs="宋体"/>
        <w:kern w:val="0"/>
        <w:sz w:val="28"/>
        <w:szCs w:val="22"/>
        <w:lang w:val="en-US" w:eastAsia="zh-CN" w:bidi="ar-SA"/>
      </w:rPr>
      <w:instrText xml:space="preserve"> PAGE </w:instrText>
    </w:r>
    <w:r>
      <w:rPr>
        <w:rFonts w:hint="eastAsia" w:ascii="宋体" w:hAnsi="宋体" w:eastAsia="宋体" w:cs="宋体"/>
        <w:kern w:val="0"/>
        <w:sz w:val="28"/>
        <w:szCs w:val="22"/>
        <w:lang w:val="en-US" w:eastAsia="zh-CN" w:bidi="ar-SA"/>
      </w:rPr>
      <w:fldChar w:fldCharType="separate"/>
    </w:r>
    <w:r>
      <w:rPr>
        <w:rFonts w:hint="eastAsia" w:ascii="宋体" w:hAnsi="宋体" w:eastAsia="宋体" w:cs="宋体"/>
        <w:kern w:val="0"/>
        <w:sz w:val="28"/>
        <w:szCs w:val="22"/>
        <w:lang w:val="en-US" w:eastAsia="zh-CN" w:bidi="ar-SA"/>
      </w:rPr>
      <w:t>2</w:t>
    </w:r>
    <w:r>
      <w:rPr>
        <w:rFonts w:hint="eastAsia" w:ascii="宋体" w:hAnsi="宋体" w:eastAsia="宋体" w:cs="宋体"/>
        <w:kern w:val="0"/>
        <w:sz w:val="28"/>
        <w:szCs w:val="22"/>
        <w:lang w:val="en-US" w:eastAsia="zh-CN" w:bidi="ar-SA"/>
      </w:rPr>
      <w:fldChar w:fldCharType="end"/>
    </w:r>
    <w:r>
      <w:rPr>
        <w:rFonts w:hint="eastAsia" w:ascii="宋体" w:hAnsi="宋体" w:eastAsia="宋体" w:cs="宋体"/>
        <w:kern w:val="0"/>
        <w:sz w:val="28"/>
        <w:szCs w:val="22"/>
        <w:lang w:val="en-US" w:eastAsia="zh-CN" w:bidi="ar-S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p>
    <w:pPr>
      <w:pStyle w:val="5"/>
    </w:pPr>
  </w:p>
  <w:p>
    <w:pPr>
      <w:pStyle w:val="5"/>
      <w:rPr>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1"/>
      </w:pBdr>
      <w:snapToGrid w:val="0"/>
      <w:jc w:val="center"/>
      <w:rPr>
        <w:rFonts w:ascii="Times New Roman" w:hAnsi="Times New Roman" w:eastAsia="仿宋_GB2312"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none" w:color="auto" w:sz="0" w:space="1"/>
      </w:pBdr>
      <w:snapToGrid w:val="0"/>
      <w:jc w:val="center"/>
      <w:rPr>
        <w:rFonts w:ascii="Times New Roman" w:hAnsi="Times New Roman" w:eastAsia="仿宋_GB2312"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jc w:val="center"/>
      <w:rPr>
        <w:rFonts w:ascii="Times New Roman" w:hAnsi="Times New Roman" w:eastAsia="仿宋_GB2312"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8807CD"/>
    <w:multiLevelType w:val="multilevel"/>
    <w:tmpl w:val="6B8807CD"/>
    <w:lvl w:ilvl="0" w:tentative="0">
      <w:start w:val="1"/>
      <w:numFmt w:val="decimal"/>
      <w:pStyle w:val="4"/>
      <w:lvlText w:val="第%1章"/>
      <w:lvlJc w:val="left"/>
      <w:pPr>
        <w:ind w:left="960" w:hanging="425"/>
      </w:pPr>
      <w:rPr>
        <w:rFonts w:cs="Times New Roman"/>
        <w:b w:val="0"/>
        <w:bCs w:val="0"/>
        <w:i w:val="0"/>
        <w:iCs w:val="0"/>
        <w:caps w:val="0"/>
        <w:smallCaps w:val="0"/>
        <w:strike w:val="0"/>
        <w:dstrike w:val="0"/>
        <w:vanish w:val="0"/>
        <w:color w:val="000000"/>
        <w:spacing w:val="0"/>
        <w:position w:val="0"/>
        <w:u w:val="none"/>
        <w:vertAlign w:val="baseline"/>
      </w:rPr>
    </w:lvl>
    <w:lvl w:ilvl="1" w:tentative="0">
      <w:start w:val="1"/>
      <w:numFmt w:val="decimal"/>
      <w:lvlText w:val="%1.%2"/>
      <w:lvlJc w:val="left"/>
      <w:pPr>
        <w:ind w:left="960" w:hanging="425"/>
      </w:pPr>
      <w:rPr>
        <w:rFonts w:cs="Times New Roman"/>
        <w:b w:val="0"/>
        <w:bCs w:val="0"/>
        <w:i w:val="0"/>
        <w:iCs w:val="0"/>
        <w:caps w:val="0"/>
        <w:smallCaps w:val="0"/>
        <w:strike w:val="0"/>
        <w:dstrike w:val="0"/>
        <w:vanish w:val="0"/>
        <w:color w:val="000000"/>
        <w:spacing w:val="0"/>
        <w:position w:val="0"/>
        <w:u w:val="none"/>
        <w:vertAlign w:val="baseline"/>
      </w:rPr>
    </w:lvl>
    <w:lvl w:ilvl="2" w:tentative="0">
      <w:start w:val="1"/>
      <w:numFmt w:val="decimal"/>
      <w:lvlText w:val="%1.%2.%3"/>
      <w:lvlJc w:val="left"/>
      <w:pPr>
        <w:ind w:left="960" w:hanging="141"/>
      </w:pPr>
      <w:rPr>
        <w:rFonts w:hint="eastAsia"/>
      </w:rPr>
    </w:lvl>
    <w:lvl w:ilvl="3" w:tentative="0">
      <w:start w:val="1"/>
      <w:numFmt w:val="decimal"/>
      <w:lvlText w:val="%1.%2.%3.%4"/>
      <w:lvlJc w:val="left"/>
      <w:pPr>
        <w:ind w:left="960" w:firstLine="0"/>
      </w:pPr>
      <w:rPr>
        <w:rFonts w:hint="eastAsia"/>
      </w:rPr>
    </w:lvl>
    <w:lvl w:ilvl="4" w:tentative="0">
      <w:start w:val="1"/>
      <w:numFmt w:val="decimal"/>
      <w:lvlText w:val="%1.%2.%3.%4.%5"/>
      <w:lvlJc w:val="left"/>
      <w:pPr>
        <w:ind w:left="960" w:firstLine="0"/>
      </w:pPr>
      <w:rPr>
        <w:rFonts w:hint="eastAsia"/>
      </w:rPr>
    </w:lvl>
    <w:lvl w:ilvl="5" w:tentative="0">
      <w:start w:val="1"/>
      <w:numFmt w:val="decimal"/>
      <w:lvlText w:val="%1.%2.%3.%4.%5.%6"/>
      <w:lvlJc w:val="left"/>
      <w:pPr>
        <w:ind w:left="960" w:firstLine="142"/>
      </w:pPr>
      <w:rPr>
        <w:rFonts w:hint="eastAsia" w:ascii="宋体" w:hAnsi="宋体" w:eastAsia="宋体"/>
      </w:rPr>
    </w:lvl>
    <w:lvl w:ilvl="6" w:tentative="0">
      <w:start w:val="1"/>
      <w:numFmt w:val="decimal"/>
      <w:lvlText w:val="%1.%2.%3.%4.%5.%6.%7"/>
      <w:lvlJc w:val="left"/>
      <w:pPr>
        <w:ind w:left="960" w:firstLine="142"/>
      </w:pPr>
      <w:rPr>
        <w:rFonts w:hint="eastAsia"/>
      </w:rPr>
    </w:lvl>
    <w:lvl w:ilvl="7" w:tentative="0">
      <w:start w:val="1"/>
      <w:numFmt w:val="decimal"/>
      <w:lvlText w:val="%1.%2.%3.%4.%5.%6.%7.%8"/>
      <w:lvlJc w:val="left"/>
      <w:pPr>
        <w:ind w:left="960" w:firstLine="142"/>
      </w:pPr>
      <w:rPr>
        <w:rFonts w:hint="eastAsia"/>
      </w:rPr>
    </w:lvl>
    <w:lvl w:ilvl="8" w:tentative="0">
      <w:start w:val="1"/>
      <w:numFmt w:val="decimal"/>
      <w:lvlText w:val="%1.%2.%3.%4.%5.%6.%7.%8.%9"/>
      <w:lvlJc w:val="left"/>
      <w:pPr>
        <w:ind w:left="960" w:firstLine="14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5MjEzMzdkYmNkM2Q4NmY2YTNhMDU1ZGNiOWFiMzAifQ=="/>
    <w:docVar w:name="KSO_WPS_MARK_KEY" w:val="1e283a1b-98fc-4c52-9a15-ec5ebf08bdab"/>
  </w:docVars>
  <w:rsids>
    <w:rsidRoot w:val="46F00EFA"/>
    <w:rsid w:val="46F00E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1级标题"/>
    <w:next w:val="3"/>
    <w:qFormat/>
    <w:uiPriority w:val="0"/>
    <w:pPr>
      <w:keepNext/>
      <w:keepLines/>
      <w:pageBreakBefore/>
      <w:widowControl w:val="0"/>
      <w:numPr>
        <w:ilvl w:val="0"/>
        <w:numId w:val="1"/>
      </w:numPr>
      <w:tabs>
        <w:tab w:val="left" w:pos="993"/>
      </w:tabs>
      <w:spacing w:before="120" w:after="120" w:line="480" w:lineRule="auto"/>
      <w:ind w:firstLine="0"/>
      <w:jc w:val="both"/>
      <w:outlineLvl w:val="0"/>
    </w:pPr>
    <w:rPr>
      <w:rFonts w:ascii="Arial" w:hAnsi="Arial" w:eastAsia="黑体" w:cs="Times New Roman"/>
      <w:kern w:val="44"/>
      <w:sz w:val="32"/>
      <w:szCs w:val="32"/>
      <w:lang w:val="en-US" w:eastAsia="zh-CN" w:bidi="ar-SA"/>
    </w:rPr>
  </w:style>
  <w:style w:type="paragraph" w:customStyle="1" w:styleId="3">
    <w:name w:val="2级标题"/>
    <w:next w:val="4"/>
    <w:qFormat/>
    <w:uiPriority w:val="0"/>
    <w:pPr>
      <w:keepNext/>
      <w:keepLines/>
      <w:widowControl w:val="0"/>
      <w:numPr>
        <w:ilvl w:val="0"/>
        <w:numId w:val="1"/>
      </w:numPr>
      <w:tabs>
        <w:tab w:val="left" w:pos="567"/>
      </w:tabs>
      <w:spacing w:line="480" w:lineRule="auto"/>
      <w:ind w:firstLine="0"/>
      <w:jc w:val="both"/>
      <w:outlineLvl w:val="1"/>
    </w:pPr>
    <w:rPr>
      <w:rFonts w:ascii="黑体" w:hAnsi="黑体" w:eastAsia="宋体" w:cs="Times New Roman"/>
      <w:b/>
      <w:kern w:val="2"/>
      <w:sz w:val="30"/>
      <w:szCs w:val="30"/>
      <w:lang w:val="en-US" w:eastAsia="zh-CN" w:bidi="ar-SA"/>
    </w:rPr>
  </w:style>
  <w:style w:type="paragraph" w:customStyle="1" w:styleId="4">
    <w:name w:val="3级标题"/>
    <w:next w:val="1"/>
    <w:qFormat/>
    <w:uiPriority w:val="0"/>
    <w:pPr>
      <w:keepNext w:val="0"/>
      <w:keepLines w:val="0"/>
      <w:widowControl/>
      <w:numPr>
        <w:ilvl w:val="0"/>
        <w:numId w:val="1"/>
      </w:numPr>
      <w:adjustRightInd/>
      <w:snapToGrid/>
      <w:spacing w:line="480" w:lineRule="auto"/>
      <w:ind w:firstLine="0"/>
      <w:jc w:val="left"/>
      <w:outlineLvl w:val="2"/>
    </w:pPr>
    <w:rPr>
      <w:rFonts w:ascii="Arial" w:hAnsi="Arial" w:eastAsia="黑体" w:cs="宋体"/>
      <w:kern w:val="0"/>
      <w:sz w:val="28"/>
      <w:szCs w:val="27"/>
      <w:lang w:val="en-US" w:eastAsia="zh-CN" w:bidi="ar-SA"/>
    </w:rPr>
  </w:style>
  <w:style w:type="paragraph" w:styleId="5">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2024-07-25T07:38:00Z</dcterms:created>
  <dc:creator>Administrator</dc:creator>
  <cp:lastModifiedBy>Administrator</cp:lastModifiedBy>
  <dcterms:modified xsi:type="dcterms:W3CDTF">2024-07-25T07:39:03Z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4F5C3F12257D4AB89B973DC059A23777</vt:lpwstr>
  </property>
</Properties>
</file>